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62A76" w14:textId="43541DA0" w:rsidR="00177B88" w:rsidRPr="00E106C5" w:rsidRDefault="00177B88" w:rsidP="00177B88">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Meeting </w:t>
      </w:r>
      <w:r w:rsidR="00382772">
        <w:rPr>
          <w:rFonts w:ascii="Arial" w:hAnsi="Arial" w:cs="Arial"/>
          <w:b/>
          <w:bCs/>
          <w:sz w:val="24"/>
        </w:rPr>
        <w:t>#</w:t>
      </w:r>
      <w:r w:rsidR="004A30C2" w:rsidRPr="00E106C5">
        <w:rPr>
          <w:rFonts w:ascii="Arial" w:hAnsi="Arial" w:cs="Arial"/>
          <w:b/>
          <w:bCs/>
          <w:sz w:val="24"/>
        </w:rPr>
        <w:t>9</w:t>
      </w:r>
      <w:r w:rsidR="00F21D14">
        <w:rPr>
          <w:rFonts w:ascii="Arial" w:hAnsi="Arial" w:cs="Arial"/>
          <w:b/>
          <w:bCs/>
          <w:sz w:val="24"/>
        </w:rPr>
        <w:t>3</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00F21D14" w:rsidRPr="00B42D0B">
        <w:rPr>
          <w:rFonts w:ascii="Arial" w:hAnsi="Arial" w:cs="Arial"/>
          <w:b/>
          <w:bCs/>
          <w:sz w:val="24"/>
        </w:rPr>
        <w:t>R1-18</w:t>
      </w:r>
      <w:r w:rsidR="0068573E">
        <w:rPr>
          <w:rFonts w:ascii="Arial" w:hAnsi="Arial" w:cs="Arial"/>
          <w:b/>
          <w:bCs/>
          <w:sz w:val="24"/>
        </w:rPr>
        <w:t>06660</w:t>
      </w:r>
    </w:p>
    <w:p w14:paraId="56A8114B" w14:textId="54692F6E" w:rsidR="00CA26CE" w:rsidRDefault="00F21D14" w:rsidP="00CA26CE">
      <w:pPr>
        <w:pStyle w:val="Header"/>
        <w:rPr>
          <w:rFonts w:eastAsia="MS Mincho" w:cs="Arial"/>
          <w:bCs/>
          <w:noProof w:val="0"/>
          <w:sz w:val="24"/>
          <w:lang w:val="en-GB" w:eastAsia="ja-JP"/>
        </w:rPr>
      </w:pPr>
      <w:r w:rsidRPr="00F21D14">
        <w:rPr>
          <w:rFonts w:eastAsia="MS Mincho" w:cs="Arial"/>
          <w:bCs/>
          <w:noProof w:val="0"/>
          <w:sz w:val="24"/>
          <w:lang w:val="en-GB" w:eastAsia="ja-JP"/>
        </w:rPr>
        <w:t>Busan, Korea, May 21st – 25th</w:t>
      </w:r>
      <w:r w:rsidR="004A466E">
        <w:rPr>
          <w:rFonts w:eastAsia="MS Mincho" w:cs="Arial"/>
          <w:bCs/>
          <w:noProof w:val="0"/>
          <w:sz w:val="24"/>
          <w:lang w:val="en-GB" w:eastAsia="ja-JP"/>
        </w:rPr>
        <w:t>, 2018</w:t>
      </w:r>
    </w:p>
    <w:p w14:paraId="16D0C5EC" w14:textId="77777777" w:rsidR="005601AC" w:rsidRPr="0016316A" w:rsidRDefault="005601AC" w:rsidP="00CA26CE">
      <w:pPr>
        <w:pStyle w:val="Header"/>
        <w:rPr>
          <w:bCs/>
          <w:noProof w:val="0"/>
          <w:sz w:val="24"/>
          <w:lang w:val="en-GB" w:eastAsia="ja-JP"/>
        </w:rPr>
      </w:pPr>
    </w:p>
    <w:p w14:paraId="08AC4AD5" w14:textId="5E5B31B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FB78F8">
        <w:rPr>
          <w:rFonts w:cs="Arial"/>
          <w:b/>
          <w:bCs/>
          <w:sz w:val="24"/>
        </w:rPr>
        <w:t>7.7</w:t>
      </w:r>
      <w:r w:rsidR="00921AA2">
        <w:rPr>
          <w:rFonts w:cs="Arial"/>
          <w:b/>
          <w:bCs/>
          <w:sz w:val="24"/>
        </w:rPr>
        <w:t>.1</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425972FD"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21AA2" w:rsidRPr="00921AA2">
        <w:rPr>
          <w:rFonts w:ascii="Arial" w:hAnsi="Arial" w:cs="Arial"/>
          <w:b/>
          <w:bCs/>
          <w:sz w:val="24"/>
        </w:rPr>
        <w:t xml:space="preserve">NR </w:t>
      </w:r>
      <w:r w:rsidR="009C6564">
        <w:rPr>
          <w:rFonts w:ascii="Arial" w:hAnsi="Arial" w:cs="Arial"/>
          <w:b/>
          <w:bCs/>
          <w:sz w:val="24"/>
        </w:rPr>
        <w:t>support for IAB</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bookmarkStart w:id="0" w:name="_GoBack"/>
      <w:bookmarkEnd w:id="0"/>
    </w:p>
    <w:p w14:paraId="76A875DE" w14:textId="77777777" w:rsidR="0034111C" w:rsidRPr="0016316A" w:rsidRDefault="0034111C">
      <w:pPr>
        <w:pStyle w:val="Heading1"/>
      </w:pPr>
      <w:r w:rsidRPr="0016316A">
        <w:t>1</w:t>
      </w:r>
      <w:r w:rsidRPr="0016316A">
        <w:tab/>
      </w:r>
      <w:r w:rsidR="00EE7FA7" w:rsidRPr="0016316A">
        <w:t>Introduction</w:t>
      </w:r>
    </w:p>
    <w:p w14:paraId="3536E2A3" w14:textId="63815057" w:rsidR="00D52656" w:rsidRDefault="004451D3" w:rsidP="008A215D">
      <w:pPr>
        <w:spacing w:after="120"/>
        <w:jc w:val="both"/>
      </w:pPr>
      <w:r>
        <w:t>RAN1</w:t>
      </w:r>
      <w:r w:rsidR="00D52656">
        <w:t xml:space="preserve">#92bis discussed potential lower layer enhancements to support IAB. Resulted agreements were following, </w:t>
      </w:r>
      <w:r w:rsidR="00D52656">
        <w:fldChar w:fldCharType="begin"/>
      </w:r>
      <w:r w:rsidR="00D52656">
        <w:instrText xml:space="preserve"> REF _Ref513450431 \r \h </w:instrText>
      </w:r>
      <w:r w:rsidR="00D52656">
        <w:fldChar w:fldCharType="separate"/>
      </w:r>
      <w:r w:rsidR="00D52656">
        <w:t>[2]</w:t>
      </w:r>
      <w:r w:rsidR="00D52656">
        <w:fldChar w:fldCharType="end"/>
      </w:r>
      <w:r w:rsidR="00D52656">
        <w:t>:</w:t>
      </w:r>
    </w:p>
    <w:p w14:paraId="632B235B" w14:textId="77777777" w:rsidR="00D52656" w:rsidRPr="00D52656" w:rsidRDefault="00D52656" w:rsidP="00D52656">
      <w:pPr>
        <w:spacing w:after="0"/>
        <w:ind w:left="1004" w:hanging="720"/>
        <w:rPr>
          <w:i/>
          <w:szCs w:val="24"/>
          <w:lang w:val="en-US" w:eastAsia="zh-CN"/>
        </w:rPr>
      </w:pPr>
      <w:r w:rsidRPr="00D52656">
        <w:rPr>
          <w:i/>
          <w:szCs w:val="24"/>
          <w:highlight w:val="green"/>
          <w:lang w:val="en-US" w:eastAsia="zh-CN"/>
        </w:rPr>
        <w:t>Agreement</w:t>
      </w:r>
      <w:r w:rsidRPr="00D52656">
        <w:rPr>
          <w:i/>
          <w:szCs w:val="24"/>
          <w:lang w:val="en-US" w:eastAsia="zh-CN"/>
        </w:rPr>
        <w:t>:</w:t>
      </w:r>
    </w:p>
    <w:p w14:paraId="372216C0" w14:textId="492A057D" w:rsidR="00D52656" w:rsidRPr="00D52656" w:rsidRDefault="00D52656" w:rsidP="00D52656">
      <w:pPr>
        <w:pStyle w:val="ListParagraph"/>
        <w:numPr>
          <w:ilvl w:val="0"/>
          <w:numId w:val="43"/>
        </w:numPr>
        <w:overflowPunct w:val="0"/>
        <w:autoSpaceDE w:val="0"/>
        <w:autoSpaceDN w:val="0"/>
        <w:adjustRightInd w:val="0"/>
        <w:spacing w:after="120"/>
        <w:ind w:left="1003" w:hanging="357"/>
        <w:rPr>
          <w:i/>
          <w:sz w:val="20"/>
          <w:lang w:val="en-US"/>
        </w:rPr>
      </w:pPr>
      <w:r w:rsidRPr="00D52656">
        <w:rPr>
          <w:i/>
          <w:sz w:val="20"/>
          <w:lang w:val="en-US"/>
        </w:rPr>
        <w:t>The Release 15 NR physical layer should be the starting point for the physical layer of the IAB backhaul link.</w:t>
      </w:r>
    </w:p>
    <w:p w14:paraId="31CF96EC" w14:textId="77777777" w:rsidR="00D52656" w:rsidRPr="00D52656" w:rsidRDefault="00D52656" w:rsidP="00D52656">
      <w:pPr>
        <w:spacing w:after="0"/>
        <w:ind w:left="1004" w:hanging="720"/>
        <w:rPr>
          <w:i/>
          <w:szCs w:val="24"/>
          <w:lang w:val="en-US" w:eastAsia="zh-CN"/>
        </w:rPr>
      </w:pPr>
      <w:r w:rsidRPr="00D52656">
        <w:rPr>
          <w:i/>
          <w:szCs w:val="24"/>
          <w:highlight w:val="green"/>
          <w:lang w:val="en-US" w:eastAsia="zh-CN"/>
        </w:rPr>
        <w:t>Agreement</w:t>
      </w:r>
      <w:r w:rsidRPr="00D52656">
        <w:rPr>
          <w:i/>
          <w:szCs w:val="24"/>
          <w:lang w:val="en-US" w:eastAsia="zh-CN"/>
        </w:rPr>
        <w:t>s:</w:t>
      </w:r>
    </w:p>
    <w:p w14:paraId="03DDA70B"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An IAB-node can follow the same initial access procedure as an access UE, including cell search, SI acquisition, and random access, in order to connect to an IAB node/donor and initially integrate to the network.</w:t>
      </w:r>
    </w:p>
    <w:p w14:paraId="695DF329"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 xml:space="preserve">Two cases: (1) donor and relay node share the same cell ID and (2) donor and relay maintain separate cell ID can be further studied. </w:t>
      </w:r>
    </w:p>
    <w:p w14:paraId="54466581" w14:textId="77777777" w:rsidR="00D52656" w:rsidRPr="00D52656" w:rsidRDefault="00D52656" w:rsidP="00D52656">
      <w:pPr>
        <w:pStyle w:val="ListParagraph"/>
        <w:numPr>
          <w:ilvl w:val="1"/>
          <w:numId w:val="43"/>
        </w:numPr>
        <w:overflowPunct w:val="0"/>
        <w:autoSpaceDE w:val="0"/>
        <w:autoSpaceDN w:val="0"/>
        <w:adjustRightInd w:val="0"/>
        <w:ind w:left="1724"/>
        <w:rPr>
          <w:i/>
          <w:sz w:val="20"/>
          <w:lang w:val="en-US"/>
        </w:rPr>
      </w:pPr>
      <w:r w:rsidRPr="00D52656">
        <w:rPr>
          <w:i/>
          <w:sz w:val="20"/>
          <w:lang w:val="en-US"/>
        </w:rPr>
        <w:t xml:space="preserve">Note: The feasibility of (1) may depend on architectures considered in RAN2/3. </w:t>
      </w:r>
    </w:p>
    <w:p w14:paraId="2BB0D823"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 xml:space="preserve">The SSB/CSI-RS based RRM measurement defined in NR R15 are considered as a starting point for IAB node discovery and measurement. </w:t>
      </w:r>
    </w:p>
    <w:p w14:paraId="3A607B20" w14:textId="77777777" w:rsidR="00D52656" w:rsidRPr="00D52656" w:rsidRDefault="00D52656" w:rsidP="00D52656">
      <w:pPr>
        <w:pStyle w:val="ListParagraph"/>
        <w:numPr>
          <w:ilvl w:val="1"/>
          <w:numId w:val="43"/>
        </w:numPr>
        <w:overflowPunct w:val="0"/>
        <w:autoSpaceDE w:val="0"/>
        <w:autoSpaceDN w:val="0"/>
        <w:adjustRightInd w:val="0"/>
        <w:ind w:left="1724"/>
        <w:rPr>
          <w:i/>
          <w:sz w:val="20"/>
          <w:lang w:val="en-US"/>
        </w:rPr>
      </w:pPr>
      <w:r w:rsidRPr="00D52656">
        <w:rPr>
          <w:i/>
          <w:sz w:val="20"/>
          <w:lang w:val="en-US"/>
        </w:rPr>
        <w:t>How to avoid conflicting SSB configurations among IAB nodes, as well as the feasibility of CSI-RS based IAB node discovery, should be studied.</w:t>
      </w:r>
    </w:p>
    <w:p w14:paraId="22604E3F" w14:textId="77777777" w:rsidR="00D52656" w:rsidRPr="00D52656" w:rsidRDefault="00D52656" w:rsidP="00D52656">
      <w:pPr>
        <w:pStyle w:val="ListParagraph"/>
        <w:numPr>
          <w:ilvl w:val="0"/>
          <w:numId w:val="43"/>
        </w:numPr>
        <w:overflowPunct w:val="0"/>
        <w:autoSpaceDE w:val="0"/>
        <w:autoSpaceDN w:val="0"/>
        <w:adjustRightInd w:val="0"/>
        <w:spacing w:after="120"/>
        <w:ind w:left="1003" w:hanging="357"/>
        <w:rPr>
          <w:i/>
          <w:sz w:val="20"/>
          <w:lang w:val="en-US"/>
        </w:rPr>
      </w:pPr>
      <w:r w:rsidRPr="00D52656">
        <w:rPr>
          <w:i/>
          <w:sz w:val="20"/>
          <w:lang w:val="en-US"/>
        </w:rPr>
        <w:t>RAN1 should further study inter-relay discovery procedure subject to half-duplex constraint and multi-hop topologies.</w:t>
      </w:r>
    </w:p>
    <w:p w14:paraId="63A695A2" w14:textId="77777777" w:rsidR="00D52656" w:rsidRPr="00D52656" w:rsidRDefault="00D52656" w:rsidP="00D52656">
      <w:pPr>
        <w:spacing w:after="0"/>
        <w:ind w:left="1004" w:hanging="720"/>
        <w:rPr>
          <w:i/>
          <w:szCs w:val="24"/>
          <w:lang w:val="en-US" w:eastAsia="zh-CN"/>
        </w:rPr>
      </w:pPr>
      <w:r w:rsidRPr="00D52656">
        <w:rPr>
          <w:i/>
          <w:szCs w:val="24"/>
          <w:highlight w:val="green"/>
          <w:lang w:val="en-US" w:eastAsia="zh-CN"/>
        </w:rPr>
        <w:t>Agreements</w:t>
      </w:r>
      <w:r w:rsidRPr="00D52656">
        <w:rPr>
          <w:i/>
          <w:szCs w:val="24"/>
          <w:lang w:val="en-US" w:eastAsia="zh-CN"/>
        </w:rPr>
        <w:t>:</w:t>
      </w:r>
    </w:p>
    <w:p w14:paraId="08C76463"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 xml:space="preserve">Study the feasibility of over-the-air (OTA) synchronization and the impact of timing misalignment on IAB performance (e.g. the number of supportable hops). </w:t>
      </w:r>
    </w:p>
    <w:p w14:paraId="6462D918" w14:textId="34964804" w:rsidR="00D52656" w:rsidRPr="00D52656" w:rsidRDefault="00D52656" w:rsidP="00D52656">
      <w:pPr>
        <w:pStyle w:val="ListParagraph"/>
        <w:numPr>
          <w:ilvl w:val="0"/>
          <w:numId w:val="43"/>
        </w:numPr>
        <w:overflowPunct w:val="0"/>
        <w:autoSpaceDE w:val="0"/>
        <w:autoSpaceDN w:val="0"/>
        <w:adjustRightInd w:val="0"/>
        <w:spacing w:after="120"/>
        <w:ind w:left="1003" w:hanging="357"/>
        <w:rPr>
          <w:i/>
          <w:sz w:val="20"/>
          <w:lang w:val="en-US"/>
        </w:rPr>
      </w:pPr>
      <w:r w:rsidRPr="00D52656">
        <w:rPr>
          <w:i/>
          <w:sz w:val="20"/>
          <w:lang w:val="en-US"/>
        </w:rPr>
        <w:t>Mechanisms for timing alignment across multi-hop NR-IAB networks should be studied.</w:t>
      </w:r>
    </w:p>
    <w:p w14:paraId="3F2F5139" w14:textId="77777777" w:rsidR="00D52656" w:rsidRPr="00D52656" w:rsidRDefault="00D52656" w:rsidP="00D52656">
      <w:pPr>
        <w:spacing w:after="0"/>
        <w:ind w:left="1004" w:hanging="720"/>
        <w:rPr>
          <w:i/>
          <w:szCs w:val="24"/>
          <w:lang w:val="en-US" w:eastAsia="zh-CN"/>
        </w:rPr>
      </w:pPr>
      <w:r w:rsidRPr="00D52656">
        <w:rPr>
          <w:i/>
          <w:szCs w:val="24"/>
          <w:highlight w:val="green"/>
          <w:lang w:val="en-US" w:eastAsia="zh-CN"/>
        </w:rPr>
        <w:t>Agreement</w:t>
      </w:r>
      <w:r w:rsidRPr="00D52656">
        <w:rPr>
          <w:i/>
          <w:szCs w:val="24"/>
          <w:lang w:val="en-US" w:eastAsia="zh-CN"/>
        </w:rPr>
        <w:t>s:</w:t>
      </w:r>
    </w:p>
    <w:p w14:paraId="154BD9F1"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 xml:space="preserve">Measurements on multiple backhaul links for link management and route selection should be studied. </w:t>
      </w:r>
    </w:p>
    <w:p w14:paraId="19F4AB0D"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Mechanisms for efficient route switching or transmission/reception on multiple backhaul links simultaneously (e.g. multi-TRP operation and intra-frequency dual connectivity) should be studied.</w:t>
      </w:r>
    </w:p>
    <w:p w14:paraId="5A52C38C" w14:textId="77777777" w:rsidR="00D52656" w:rsidRPr="00D52656" w:rsidRDefault="00D52656" w:rsidP="00D52656">
      <w:pPr>
        <w:pStyle w:val="ListParagraph"/>
        <w:numPr>
          <w:ilvl w:val="1"/>
          <w:numId w:val="43"/>
        </w:numPr>
        <w:overflowPunct w:val="0"/>
        <w:autoSpaceDE w:val="0"/>
        <w:autoSpaceDN w:val="0"/>
        <w:adjustRightInd w:val="0"/>
        <w:ind w:left="1724"/>
        <w:rPr>
          <w:i/>
          <w:sz w:val="20"/>
          <w:lang w:val="en-US"/>
        </w:rPr>
      </w:pPr>
      <w:r w:rsidRPr="00D52656">
        <w:rPr>
          <w:i/>
          <w:sz w:val="20"/>
          <w:lang w:val="en-US"/>
        </w:rPr>
        <w:t xml:space="preserve">Note: The feasibility of (1) may depend on architectures considered in RAN2/3. </w:t>
      </w:r>
    </w:p>
    <w:p w14:paraId="3424CA0C"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Mechanisms for scheduling coordination, resource allocation, and route selection across IAB nodes/donors and multiple backhaul hops should be studied.</w:t>
      </w:r>
    </w:p>
    <w:p w14:paraId="0267EF54"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Mechanisms for efficient TDM/FDM/SDM multiplexing of access/backhaul traffic across multiple hops considering an IAB-node half-duplex constraint should be studied.</w:t>
      </w:r>
    </w:p>
    <w:p w14:paraId="68550922"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The impact of cross-link interference on access and backhaul links (including across multiple hops) should be studied.</w:t>
      </w:r>
    </w:p>
    <w:p w14:paraId="214C5039"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 xml:space="preserve">Interference measurement and management solutions should be studied. </w:t>
      </w:r>
    </w:p>
    <w:p w14:paraId="07AE5049" w14:textId="77777777" w:rsidR="00D52656" w:rsidRPr="00D52656" w:rsidRDefault="00D52656" w:rsidP="00D52656">
      <w:pPr>
        <w:pStyle w:val="ListParagraph"/>
        <w:numPr>
          <w:ilvl w:val="0"/>
          <w:numId w:val="43"/>
        </w:numPr>
        <w:overflowPunct w:val="0"/>
        <w:autoSpaceDE w:val="0"/>
        <w:autoSpaceDN w:val="0"/>
        <w:adjustRightInd w:val="0"/>
        <w:ind w:left="1004"/>
        <w:rPr>
          <w:i/>
          <w:sz w:val="20"/>
          <w:lang w:val="en-US"/>
        </w:rPr>
      </w:pPr>
      <w:r w:rsidRPr="00D52656">
        <w:rPr>
          <w:i/>
          <w:sz w:val="20"/>
          <w:lang w:val="en-US"/>
        </w:rPr>
        <w:t>1024QAM for the backhaul link should be studied.</w:t>
      </w:r>
    </w:p>
    <w:p w14:paraId="454AAF20" w14:textId="77777777" w:rsidR="00D52656" w:rsidRPr="00D52656" w:rsidRDefault="00D52656" w:rsidP="00D52656">
      <w:pPr>
        <w:pStyle w:val="ListParagraph"/>
        <w:numPr>
          <w:ilvl w:val="1"/>
          <w:numId w:val="43"/>
        </w:numPr>
        <w:overflowPunct w:val="0"/>
        <w:autoSpaceDE w:val="0"/>
        <w:autoSpaceDN w:val="0"/>
        <w:adjustRightInd w:val="0"/>
        <w:ind w:left="1724"/>
        <w:rPr>
          <w:i/>
          <w:sz w:val="20"/>
          <w:lang w:val="en-US"/>
        </w:rPr>
      </w:pPr>
      <w:r w:rsidRPr="00D52656">
        <w:rPr>
          <w:i/>
          <w:sz w:val="20"/>
          <w:lang w:val="en-US"/>
        </w:rPr>
        <w:t xml:space="preserve">FFS: whether solutions should be specified as part of an IAB WI or other NR WI </w:t>
      </w:r>
    </w:p>
    <w:p w14:paraId="6A714F21" w14:textId="77777777" w:rsidR="00D52656" w:rsidRPr="00D52656" w:rsidRDefault="00D52656" w:rsidP="008A215D">
      <w:pPr>
        <w:spacing w:after="120"/>
        <w:jc w:val="both"/>
        <w:rPr>
          <w:lang w:val="en-US"/>
        </w:rPr>
      </w:pPr>
    </w:p>
    <w:p w14:paraId="3566511B" w14:textId="713286F2" w:rsidR="00D52656" w:rsidRPr="00D52656" w:rsidRDefault="003A0417" w:rsidP="008A215D">
      <w:pPr>
        <w:jc w:val="both"/>
        <w:rPr>
          <w:lang w:val="en-US"/>
        </w:rPr>
      </w:pPr>
      <w:r>
        <w:t xml:space="preserve">This document summarizes Nokia views on </w:t>
      </w:r>
      <w:r w:rsidR="00D52656">
        <w:rPr>
          <w:lang w:val="en-US"/>
        </w:rPr>
        <w:t>ways how NR specifica</w:t>
      </w:r>
      <w:r w:rsidR="00D52656" w:rsidRPr="00D52656">
        <w:rPr>
          <w:lang w:val="en-US"/>
        </w:rPr>
        <w:t xml:space="preserve">tions can be used </w:t>
      </w:r>
      <w:r w:rsidR="00D52656">
        <w:t xml:space="preserve">and what could be potential enhancements </w:t>
      </w:r>
      <w:r w:rsidR="00D52656" w:rsidRPr="00D52656">
        <w:rPr>
          <w:lang w:val="en-US"/>
        </w:rPr>
        <w:t xml:space="preserve">to support </w:t>
      </w:r>
      <w:r w:rsidR="00D52656">
        <w:t xml:space="preserve">IAB. This paper summarizes main points and proposals for different options while related discussion papers </w:t>
      </w:r>
      <w:r w:rsidR="006901CD">
        <w:t xml:space="preserve">include </w:t>
      </w:r>
      <w:r w:rsidR="00D52656">
        <w:t>m</w:t>
      </w:r>
      <w:r w:rsidR="006901CD">
        <w:t>ore detailed analysis and background.</w:t>
      </w:r>
    </w:p>
    <w:p w14:paraId="10FD11CC" w14:textId="0A0E6622" w:rsidR="00062630" w:rsidRDefault="00062630" w:rsidP="00062630">
      <w:pPr>
        <w:pStyle w:val="Heading1"/>
      </w:pPr>
      <w:r>
        <w:rPr>
          <w:color w:val="000000"/>
        </w:rPr>
        <w:lastRenderedPageBreak/>
        <w:t>2</w:t>
      </w:r>
      <w:r w:rsidRPr="00A51522">
        <w:rPr>
          <w:color w:val="000000"/>
        </w:rPr>
        <w:tab/>
      </w:r>
      <w:r w:rsidR="005E7117">
        <w:t>Discussion</w:t>
      </w:r>
    </w:p>
    <w:p w14:paraId="5E684B78" w14:textId="2CEB1597" w:rsidR="0092658D" w:rsidRPr="00581E73" w:rsidRDefault="00581E73" w:rsidP="008A215D">
      <w:pPr>
        <w:jc w:val="both"/>
      </w:pPr>
      <w:r>
        <w:t>In the sections below, we elaborate the main points to consider by RAN1 study on IAB in different areas of IAB deployment and operation. More detailed discussion can be found in the referred TDocs dedicated for each topic.</w:t>
      </w:r>
    </w:p>
    <w:p w14:paraId="5F8194B5" w14:textId="0A5035A4" w:rsidR="00EC4DEE" w:rsidRDefault="00927BDE" w:rsidP="00EC4DEE">
      <w:pPr>
        <w:pStyle w:val="Heading2"/>
        <w:rPr>
          <w:lang w:val="en-US"/>
        </w:rPr>
      </w:pPr>
      <w:r>
        <w:rPr>
          <w:lang w:val="en-US"/>
        </w:rPr>
        <w:t>2.</w:t>
      </w:r>
      <w:r w:rsidR="006901CD">
        <w:rPr>
          <w:lang w:val="en-US"/>
        </w:rPr>
        <w:t>1</w:t>
      </w:r>
      <w:r>
        <w:rPr>
          <w:lang w:val="en-US"/>
        </w:rPr>
        <w:tab/>
        <w:t>Radio resource allocation</w:t>
      </w:r>
    </w:p>
    <w:p w14:paraId="2D9634A9" w14:textId="77777777" w:rsidR="00606731" w:rsidRDefault="00606731" w:rsidP="00606731">
      <w:pPr>
        <w:pStyle w:val="ListParagraph"/>
        <w:ind w:left="0"/>
        <w:jc w:val="both"/>
        <w:rPr>
          <w:sz w:val="20"/>
          <w:szCs w:val="20"/>
          <w:lang w:val="en-US"/>
        </w:rPr>
      </w:pPr>
      <w:r>
        <w:rPr>
          <w:sz w:val="20"/>
          <w:szCs w:val="20"/>
          <w:lang w:val="en-US"/>
        </w:rPr>
        <w:t xml:space="preserve">We consider </w:t>
      </w:r>
      <w:r w:rsidRPr="00273588">
        <w:rPr>
          <w:sz w:val="20"/>
          <w:szCs w:val="20"/>
          <w:lang w:val="en-US"/>
        </w:rPr>
        <w:t>resource allocation aspects between access and BH links</w:t>
      </w:r>
      <w:r>
        <w:rPr>
          <w:sz w:val="20"/>
          <w:szCs w:val="20"/>
          <w:lang w:val="en-US"/>
        </w:rPr>
        <w:t xml:space="preserve"> in </w:t>
      </w:r>
      <w:r>
        <w:rPr>
          <w:sz w:val="20"/>
          <w:szCs w:val="20"/>
          <w:lang w:val="en-US"/>
        </w:rPr>
        <w:fldChar w:fldCharType="begin"/>
      </w:r>
      <w:r>
        <w:rPr>
          <w:sz w:val="20"/>
          <w:szCs w:val="20"/>
          <w:lang w:val="en-US"/>
        </w:rPr>
        <w:instrText xml:space="preserve"> REF _Ref510687574 \r \h  \* MERGEFORMAT </w:instrText>
      </w:r>
      <w:r>
        <w:rPr>
          <w:sz w:val="20"/>
          <w:szCs w:val="20"/>
          <w:lang w:val="en-US"/>
        </w:rPr>
      </w:r>
      <w:r>
        <w:rPr>
          <w:sz w:val="20"/>
          <w:szCs w:val="20"/>
          <w:lang w:val="en-US"/>
        </w:rPr>
        <w:fldChar w:fldCharType="separate"/>
      </w:r>
      <w:r>
        <w:rPr>
          <w:sz w:val="20"/>
          <w:szCs w:val="20"/>
          <w:lang w:val="en-US"/>
        </w:rPr>
        <w:t>[4]</w:t>
      </w:r>
      <w:r>
        <w:rPr>
          <w:sz w:val="20"/>
          <w:szCs w:val="20"/>
          <w:lang w:val="en-US"/>
        </w:rPr>
        <w:fldChar w:fldCharType="end"/>
      </w:r>
      <w:r>
        <w:rPr>
          <w:sz w:val="20"/>
          <w:szCs w:val="20"/>
          <w:lang w:val="en-US"/>
        </w:rPr>
        <w:t>. Based on the discussion, we see a need for both TDM and SDM/FDM approaches:</w:t>
      </w:r>
      <w:r w:rsidRPr="00273588">
        <w:rPr>
          <w:sz w:val="20"/>
          <w:szCs w:val="20"/>
          <w:lang w:val="en-US"/>
        </w:rPr>
        <w:t xml:space="preserve"> </w:t>
      </w:r>
    </w:p>
    <w:p w14:paraId="766F0CA9" w14:textId="77777777" w:rsidR="00606731" w:rsidRDefault="00606731" w:rsidP="00606731">
      <w:pPr>
        <w:pStyle w:val="ListParagraph"/>
        <w:numPr>
          <w:ilvl w:val="0"/>
          <w:numId w:val="44"/>
        </w:numPr>
        <w:ind w:left="709" w:hanging="283"/>
        <w:jc w:val="both"/>
        <w:rPr>
          <w:sz w:val="20"/>
          <w:szCs w:val="20"/>
          <w:lang w:val="en-US"/>
        </w:rPr>
      </w:pPr>
      <w:r w:rsidRPr="00BD3073">
        <w:rPr>
          <w:sz w:val="20"/>
          <w:szCs w:val="20"/>
          <w:lang w:val="en-US"/>
        </w:rPr>
        <w:t xml:space="preserve">TDM between access and backhaul </w:t>
      </w:r>
      <w:r w:rsidRPr="006342F0">
        <w:rPr>
          <w:sz w:val="20"/>
          <w:szCs w:val="20"/>
          <w:lang w:val="en-US"/>
        </w:rPr>
        <w:t>i</w:t>
      </w:r>
      <w:r>
        <w:rPr>
          <w:sz w:val="20"/>
          <w:szCs w:val="20"/>
          <w:lang w:val="en-US"/>
        </w:rPr>
        <w:t>s</w:t>
      </w:r>
      <w:r w:rsidRPr="006342F0">
        <w:rPr>
          <w:sz w:val="20"/>
          <w:szCs w:val="20"/>
          <w:lang w:val="en-US"/>
        </w:rPr>
        <w:t xml:space="preserve"> easy to implement and it represents a robust design, which can be operated without any cross-link interference.</w:t>
      </w:r>
      <w:r>
        <w:rPr>
          <w:sz w:val="20"/>
          <w:szCs w:val="20"/>
          <w:lang w:val="en-US"/>
        </w:rPr>
        <w:t xml:space="preserve"> </w:t>
      </w:r>
      <w:r w:rsidRPr="00BD3073">
        <w:rPr>
          <w:sz w:val="20"/>
          <w:szCs w:val="20"/>
          <w:lang w:val="en-US"/>
        </w:rPr>
        <w:t>On the other hand, it is a resource allocation scen</w:t>
      </w:r>
      <w:r w:rsidRPr="006342F0">
        <w:rPr>
          <w:sz w:val="20"/>
          <w:szCs w:val="20"/>
          <w:lang w:val="en-US"/>
        </w:rPr>
        <w:t xml:space="preserve">ario, which requires specific attention since the IAB Node(s) cannot communicate with Donor gNB during the access link operation. This needs to be taken into consideration e.g. in the cases with dynamic resource allocation between backhaul and access links. </w:t>
      </w:r>
    </w:p>
    <w:p w14:paraId="1D45A45C" w14:textId="253B7FBA" w:rsidR="00606731" w:rsidRPr="00BD3073" w:rsidRDefault="00606731" w:rsidP="00606731">
      <w:pPr>
        <w:pStyle w:val="ListParagraph"/>
        <w:numPr>
          <w:ilvl w:val="0"/>
          <w:numId w:val="44"/>
        </w:numPr>
        <w:ind w:left="709" w:hanging="283"/>
        <w:jc w:val="both"/>
        <w:rPr>
          <w:sz w:val="20"/>
          <w:szCs w:val="20"/>
          <w:lang w:val="en-US"/>
        </w:rPr>
      </w:pPr>
      <w:r>
        <w:rPr>
          <w:sz w:val="20"/>
          <w:szCs w:val="20"/>
          <w:lang w:val="en-US"/>
        </w:rPr>
        <w:t xml:space="preserve">SDM/FDM between access and backhaul provides </w:t>
      </w:r>
      <w:r w:rsidRPr="006342F0">
        <w:rPr>
          <w:sz w:val="20"/>
          <w:szCs w:val="20"/>
          <w:lang w:val="en-US"/>
        </w:rPr>
        <w:t>opportunities for higher spectral efficiency and as well as for lower latency</w:t>
      </w:r>
      <w:r>
        <w:rPr>
          <w:sz w:val="20"/>
          <w:szCs w:val="20"/>
          <w:lang w:val="en-US"/>
        </w:rPr>
        <w:t>. On the other hand, it suffers from cross-link interference.</w:t>
      </w:r>
      <w:r w:rsidR="00177A7B">
        <w:rPr>
          <w:sz w:val="20"/>
          <w:szCs w:val="20"/>
          <w:lang w:val="en-US"/>
        </w:rPr>
        <w:t xml:space="preserve"> </w:t>
      </w:r>
    </w:p>
    <w:p w14:paraId="13BF25BB" w14:textId="77777777" w:rsidR="00606731" w:rsidRDefault="00606731" w:rsidP="00606731">
      <w:pPr>
        <w:pStyle w:val="ListParagraph"/>
        <w:ind w:left="0"/>
        <w:rPr>
          <w:sz w:val="20"/>
          <w:szCs w:val="20"/>
          <w:lang w:val="en-US"/>
        </w:rPr>
      </w:pPr>
    </w:p>
    <w:p w14:paraId="27173547" w14:textId="77777777" w:rsidR="00606731" w:rsidRPr="005D55FF" w:rsidRDefault="00606731" w:rsidP="00606731">
      <w:pPr>
        <w:pStyle w:val="ListParagraph"/>
        <w:ind w:left="0"/>
        <w:rPr>
          <w:b/>
          <w:sz w:val="20"/>
          <w:szCs w:val="20"/>
          <w:lang w:val="en-US"/>
        </w:rPr>
      </w:pPr>
      <w:r w:rsidRPr="005D55FF">
        <w:rPr>
          <w:b/>
          <w:sz w:val="20"/>
          <w:szCs w:val="20"/>
          <w:lang w:val="en-US"/>
        </w:rPr>
        <w:t xml:space="preserve">Proposal </w:t>
      </w:r>
      <w:r>
        <w:rPr>
          <w:b/>
          <w:sz w:val="20"/>
          <w:szCs w:val="20"/>
          <w:lang w:val="en-US"/>
        </w:rPr>
        <w:t>1</w:t>
      </w:r>
      <w:r w:rsidRPr="005D55FF">
        <w:rPr>
          <w:b/>
          <w:sz w:val="20"/>
          <w:szCs w:val="20"/>
          <w:lang w:val="en-US"/>
        </w:rPr>
        <w:t xml:space="preserve">: </w:t>
      </w:r>
      <w:r>
        <w:rPr>
          <w:b/>
          <w:sz w:val="20"/>
          <w:szCs w:val="20"/>
          <w:lang w:val="en-US"/>
        </w:rPr>
        <w:t>Support half-duplex IAB scenarios with both TDM and SDM/FDM between Access and BH links.</w:t>
      </w:r>
    </w:p>
    <w:p w14:paraId="40639D10" w14:textId="77777777" w:rsidR="00606731" w:rsidRPr="00C2509B" w:rsidRDefault="00606731" w:rsidP="00606731">
      <w:pPr>
        <w:pStyle w:val="ListParagraph"/>
        <w:ind w:left="0"/>
        <w:rPr>
          <w:i/>
          <w:sz w:val="20"/>
          <w:szCs w:val="20"/>
          <w:lang w:val="en-US"/>
        </w:rPr>
      </w:pPr>
    </w:p>
    <w:p w14:paraId="488D5876" w14:textId="247037FF" w:rsidR="00606731" w:rsidRPr="009F221D" w:rsidRDefault="0052224D" w:rsidP="00606731">
      <w:pPr>
        <w:spacing w:after="0"/>
        <w:rPr>
          <w:lang w:val="en-US"/>
        </w:rPr>
      </w:pPr>
      <w:r>
        <w:rPr>
          <w:lang w:val="en-US"/>
        </w:rPr>
        <w:t>It was</w:t>
      </w:r>
      <w:r w:rsidR="00DD726A">
        <w:rPr>
          <w:lang w:val="en-US"/>
        </w:rPr>
        <w:t xml:space="preserve"> </w:t>
      </w:r>
      <w:r w:rsidR="00606731">
        <w:rPr>
          <w:lang w:val="en-US"/>
        </w:rPr>
        <w:t>agreed in RAN1#92bis that “</w:t>
      </w:r>
      <w:r w:rsidR="00606731" w:rsidRPr="006342F0">
        <w:rPr>
          <w:i/>
          <w:lang w:val="en-US"/>
        </w:rPr>
        <w:t>The Release 15 NR physical layer should be the starting point for the physical layer of the IAB backhaul link</w:t>
      </w:r>
      <w:r w:rsidR="00606731">
        <w:rPr>
          <w:i/>
          <w:lang w:val="en-US"/>
        </w:rPr>
        <w:t>”</w:t>
      </w:r>
      <w:r w:rsidR="00606731">
        <w:rPr>
          <w:lang w:val="en-US"/>
        </w:rPr>
        <w:t>.</w:t>
      </w:r>
      <w:r w:rsidR="00606731" w:rsidRPr="009F221D">
        <w:rPr>
          <w:lang w:val="en-US"/>
        </w:rPr>
        <w:t xml:space="preserve"> </w:t>
      </w:r>
      <w:r w:rsidR="00177A7B">
        <w:rPr>
          <w:lang w:val="en-US"/>
        </w:rPr>
        <w:t>NR Rel-15 contains many</w:t>
      </w:r>
      <w:r w:rsidR="00606731" w:rsidRPr="009F221D">
        <w:rPr>
          <w:lang w:val="en-US"/>
        </w:rPr>
        <w:t xml:space="preserve"> </w:t>
      </w:r>
      <w:r w:rsidR="000447D9">
        <w:rPr>
          <w:lang w:val="en-US"/>
        </w:rPr>
        <w:t>forward compatibility features</w:t>
      </w:r>
      <w:r w:rsidR="00606731" w:rsidRPr="009F221D">
        <w:rPr>
          <w:lang w:val="en-US"/>
        </w:rPr>
        <w:t xml:space="preserve"> </w:t>
      </w:r>
      <w:r w:rsidR="00177A7B">
        <w:rPr>
          <w:lang w:val="en-US"/>
        </w:rPr>
        <w:t>which make it easier to introduce IAB backhaul link</w:t>
      </w:r>
      <w:r w:rsidR="00606731" w:rsidRPr="009F221D">
        <w:rPr>
          <w:lang w:val="en-US"/>
        </w:rPr>
        <w:t>:</w:t>
      </w:r>
    </w:p>
    <w:p w14:paraId="7187850D" w14:textId="0D0161D6" w:rsidR="00606731" w:rsidRDefault="00606731" w:rsidP="00606731">
      <w:pPr>
        <w:pStyle w:val="ListParagraph"/>
        <w:numPr>
          <w:ilvl w:val="0"/>
          <w:numId w:val="42"/>
        </w:numPr>
        <w:spacing w:after="160" w:line="259" w:lineRule="auto"/>
        <w:rPr>
          <w:sz w:val="20"/>
          <w:szCs w:val="20"/>
          <w:lang w:val="en-US"/>
        </w:rPr>
      </w:pPr>
      <w:r w:rsidRPr="009F221D">
        <w:rPr>
          <w:sz w:val="20"/>
          <w:szCs w:val="20"/>
          <w:lang w:val="en-US"/>
        </w:rPr>
        <w:t xml:space="preserve">Minimum </w:t>
      </w:r>
      <w:r w:rsidR="00C47EB8">
        <w:rPr>
          <w:sz w:val="20"/>
          <w:szCs w:val="20"/>
          <w:lang w:val="en-US"/>
        </w:rPr>
        <w:t>number</w:t>
      </w:r>
      <w:r w:rsidR="00C47EB8" w:rsidRPr="009F221D">
        <w:rPr>
          <w:sz w:val="20"/>
          <w:szCs w:val="20"/>
          <w:lang w:val="en-US"/>
        </w:rPr>
        <w:t xml:space="preserve"> </w:t>
      </w:r>
      <w:r w:rsidRPr="009F221D">
        <w:rPr>
          <w:sz w:val="20"/>
          <w:szCs w:val="20"/>
          <w:lang w:val="en-US"/>
        </w:rPr>
        <w:t>of always-on signals</w:t>
      </w:r>
      <w:r>
        <w:rPr>
          <w:sz w:val="20"/>
          <w:szCs w:val="20"/>
          <w:lang w:val="en-US"/>
        </w:rPr>
        <w:t xml:space="preserve"> (including </w:t>
      </w:r>
      <w:r w:rsidRPr="009F221D">
        <w:rPr>
          <w:sz w:val="20"/>
          <w:szCs w:val="20"/>
          <w:lang w:val="en-US"/>
        </w:rPr>
        <w:t>configurable SSB periodicity</w:t>
      </w:r>
      <w:r>
        <w:rPr>
          <w:sz w:val="20"/>
          <w:szCs w:val="20"/>
          <w:lang w:val="en-US"/>
        </w:rPr>
        <w:t>)</w:t>
      </w:r>
    </w:p>
    <w:p w14:paraId="770829EC" w14:textId="77777777" w:rsidR="00606731" w:rsidRPr="009F221D" w:rsidRDefault="00606731" w:rsidP="00606731">
      <w:pPr>
        <w:pStyle w:val="ListParagraph"/>
        <w:numPr>
          <w:ilvl w:val="0"/>
          <w:numId w:val="42"/>
        </w:numPr>
        <w:spacing w:after="160" w:line="259" w:lineRule="auto"/>
        <w:rPr>
          <w:sz w:val="20"/>
          <w:szCs w:val="20"/>
          <w:lang w:val="en-US"/>
        </w:rPr>
      </w:pPr>
      <w:r w:rsidRPr="009F221D">
        <w:rPr>
          <w:sz w:val="20"/>
          <w:szCs w:val="20"/>
          <w:lang w:val="en-US"/>
        </w:rPr>
        <w:t>DMRS based demodulation in DL</w:t>
      </w:r>
      <w:r>
        <w:rPr>
          <w:sz w:val="20"/>
          <w:szCs w:val="20"/>
          <w:lang w:val="en-US"/>
        </w:rPr>
        <w:t xml:space="preserve"> (no CRS)</w:t>
      </w:r>
    </w:p>
    <w:p w14:paraId="0F3D39A6" w14:textId="77777777" w:rsidR="00606731" w:rsidRPr="009F221D" w:rsidRDefault="00606731" w:rsidP="00606731">
      <w:pPr>
        <w:pStyle w:val="ListParagraph"/>
        <w:numPr>
          <w:ilvl w:val="0"/>
          <w:numId w:val="42"/>
        </w:numPr>
        <w:spacing w:after="160" w:line="259" w:lineRule="auto"/>
        <w:rPr>
          <w:sz w:val="20"/>
          <w:szCs w:val="20"/>
          <w:lang w:val="en-US"/>
        </w:rPr>
      </w:pPr>
      <w:r>
        <w:rPr>
          <w:sz w:val="20"/>
          <w:szCs w:val="20"/>
          <w:lang w:val="en-US"/>
        </w:rPr>
        <w:t xml:space="preserve">Support for explicit </w:t>
      </w:r>
      <w:r w:rsidRPr="009F221D">
        <w:rPr>
          <w:sz w:val="20"/>
          <w:szCs w:val="20"/>
          <w:lang w:val="en-US"/>
        </w:rPr>
        <w:t xml:space="preserve">signaling indicting </w:t>
      </w:r>
      <w:r>
        <w:rPr>
          <w:sz w:val="20"/>
          <w:szCs w:val="20"/>
          <w:lang w:val="en-US"/>
        </w:rPr>
        <w:t xml:space="preserve">reserved (rate matching) </w:t>
      </w:r>
      <w:r w:rsidRPr="009F221D">
        <w:rPr>
          <w:sz w:val="20"/>
          <w:szCs w:val="20"/>
          <w:lang w:val="en-US"/>
        </w:rPr>
        <w:t>resources</w:t>
      </w:r>
      <w:r>
        <w:rPr>
          <w:sz w:val="20"/>
          <w:szCs w:val="20"/>
          <w:lang w:val="en-US"/>
        </w:rPr>
        <w:t xml:space="preserve"> </w:t>
      </w:r>
    </w:p>
    <w:p w14:paraId="3AD952F9" w14:textId="77777777" w:rsidR="00606731" w:rsidRDefault="00606731" w:rsidP="00606731">
      <w:pPr>
        <w:pStyle w:val="ListParagraph"/>
        <w:numPr>
          <w:ilvl w:val="0"/>
          <w:numId w:val="42"/>
        </w:numPr>
        <w:spacing w:after="160" w:line="259" w:lineRule="auto"/>
        <w:rPr>
          <w:sz w:val="20"/>
          <w:szCs w:val="20"/>
          <w:lang w:val="en-US"/>
        </w:rPr>
      </w:pPr>
      <w:r w:rsidRPr="009F221D">
        <w:rPr>
          <w:sz w:val="20"/>
          <w:szCs w:val="20"/>
          <w:lang w:val="en-US"/>
        </w:rPr>
        <w:t>Bandwidth part based design instead of carrier based design</w:t>
      </w:r>
    </w:p>
    <w:p w14:paraId="3E50E0BD" w14:textId="77777777" w:rsidR="00606731" w:rsidRPr="009F221D" w:rsidRDefault="00606731" w:rsidP="00606731">
      <w:pPr>
        <w:pStyle w:val="ListParagraph"/>
        <w:numPr>
          <w:ilvl w:val="0"/>
          <w:numId w:val="42"/>
        </w:numPr>
        <w:spacing w:after="160" w:line="259" w:lineRule="auto"/>
        <w:rPr>
          <w:sz w:val="20"/>
          <w:szCs w:val="20"/>
          <w:lang w:val="en-US"/>
        </w:rPr>
      </w:pPr>
      <w:r>
        <w:rPr>
          <w:sz w:val="20"/>
          <w:szCs w:val="20"/>
          <w:lang w:val="en-US"/>
        </w:rPr>
        <w:t>Support for different duplexing options (including also flexible TDD)</w:t>
      </w:r>
    </w:p>
    <w:p w14:paraId="3FCA9B09" w14:textId="77777777" w:rsidR="00606731" w:rsidRDefault="00606731" w:rsidP="00606731">
      <w:pPr>
        <w:pStyle w:val="ListParagraph"/>
        <w:numPr>
          <w:ilvl w:val="0"/>
          <w:numId w:val="42"/>
        </w:numPr>
        <w:spacing w:after="160" w:line="259" w:lineRule="auto"/>
        <w:rPr>
          <w:sz w:val="20"/>
          <w:szCs w:val="20"/>
          <w:lang w:val="en-US"/>
        </w:rPr>
      </w:pPr>
      <w:r>
        <w:rPr>
          <w:sz w:val="20"/>
          <w:szCs w:val="20"/>
          <w:lang w:val="en-US"/>
        </w:rPr>
        <w:t>Support for beam-based operation</w:t>
      </w:r>
    </w:p>
    <w:p w14:paraId="5AAA8315" w14:textId="77777777" w:rsidR="00606731" w:rsidRPr="009F221D" w:rsidRDefault="00606731" w:rsidP="00606731">
      <w:pPr>
        <w:pStyle w:val="ListParagraph"/>
        <w:numPr>
          <w:ilvl w:val="0"/>
          <w:numId w:val="42"/>
        </w:numPr>
        <w:spacing w:after="160" w:line="259" w:lineRule="auto"/>
        <w:rPr>
          <w:sz w:val="20"/>
          <w:szCs w:val="20"/>
          <w:lang w:val="en-US"/>
        </w:rPr>
      </w:pPr>
      <w:r w:rsidRPr="009F221D">
        <w:rPr>
          <w:sz w:val="20"/>
          <w:szCs w:val="20"/>
          <w:lang w:val="en-US"/>
        </w:rPr>
        <w:t>Asynchronous HARQ in both UL and DL</w:t>
      </w:r>
    </w:p>
    <w:p w14:paraId="5A739C29" w14:textId="77777777" w:rsidR="00606731" w:rsidRDefault="00606731" w:rsidP="00606731">
      <w:pPr>
        <w:pStyle w:val="ListParagraph"/>
        <w:numPr>
          <w:ilvl w:val="0"/>
          <w:numId w:val="42"/>
        </w:numPr>
        <w:spacing w:after="160" w:line="259" w:lineRule="auto"/>
        <w:rPr>
          <w:sz w:val="20"/>
          <w:szCs w:val="20"/>
          <w:lang w:val="en-US"/>
        </w:rPr>
      </w:pPr>
      <w:r w:rsidRPr="009F221D">
        <w:rPr>
          <w:sz w:val="20"/>
          <w:szCs w:val="20"/>
          <w:lang w:val="en-US"/>
        </w:rPr>
        <w:t>Support for flexible HARQ/scheduling time</w:t>
      </w:r>
      <w:r>
        <w:rPr>
          <w:sz w:val="20"/>
          <w:szCs w:val="20"/>
          <w:lang w:val="en-US"/>
        </w:rPr>
        <w:t>.</w:t>
      </w:r>
    </w:p>
    <w:p w14:paraId="203AC170" w14:textId="77777777" w:rsidR="00606731" w:rsidRDefault="00606731" w:rsidP="00606731">
      <w:pPr>
        <w:pStyle w:val="ListParagraph"/>
        <w:spacing w:after="160" w:line="259" w:lineRule="auto"/>
        <w:ind w:left="774"/>
        <w:rPr>
          <w:sz w:val="20"/>
          <w:szCs w:val="20"/>
          <w:lang w:val="en-US"/>
        </w:rPr>
      </w:pPr>
    </w:p>
    <w:p w14:paraId="091BB8C9" w14:textId="77777777" w:rsidR="00606731" w:rsidRDefault="00606731" w:rsidP="00606731">
      <w:pPr>
        <w:pStyle w:val="ListParagraph"/>
        <w:ind w:left="0"/>
        <w:jc w:val="both"/>
        <w:rPr>
          <w:sz w:val="20"/>
          <w:szCs w:val="20"/>
          <w:lang w:val="en-US"/>
        </w:rPr>
      </w:pPr>
      <w:r>
        <w:rPr>
          <w:sz w:val="20"/>
          <w:szCs w:val="20"/>
          <w:lang w:val="en-US"/>
        </w:rPr>
        <w:t>NR Rel-15 supports two scheduling frameworks: 1) slot based scheduling and 2) non-slot based scheduling. Slot based operation where</w:t>
      </w:r>
      <w:r w:rsidRPr="00C01815">
        <w:rPr>
          <w:sz w:val="20"/>
          <w:szCs w:val="20"/>
          <w:lang w:val="en-US"/>
        </w:rPr>
        <w:t xml:space="preserve"> different IAB links</w:t>
      </w:r>
      <w:r>
        <w:rPr>
          <w:sz w:val="20"/>
          <w:szCs w:val="20"/>
          <w:lang w:val="en-US"/>
        </w:rPr>
        <w:t xml:space="preserve"> (BH DL, BH UL, Access DL, Access UL) are allocated with slot resolution</w:t>
      </w:r>
      <w:r w:rsidRPr="00C01815">
        <w:rPr>
          <w:sz w:val="20"/>
          <w:szCs w:val="20"/>
          <w:lang w:val="en-US"/>
        </w:rPr>
        <w:t xml:space="preserve"> is a feasible resource allocation approach NR IAB operation.</w:t>
      </w:r>
      <w:r>
        <w:rPr>
          <w:sz w:val="20"/>
          <w:szCs w:val="20"/>
          <w:lang w:val="en-US"/>
        </w:rPr>
        <w:t xml:space="preserve"> </w:t>
      </w:r>
      <w:r w:rsidRPr="00C2509B">
        <w:rPr>
          <w:sz w:val="20"/>
          <w:szCs w:val="20"/>
          <w:lang w:val="en-US"/>
        </w:rPr>
        <w:t xml:space="preserve">Mini-slot based approach </w:t>
      </w:r>
      <w:r>
        <w:rPr>
          <w:sz w:val="20"/>
          <w:szCs w:val="20"/>
          <w:lang w:val="en-US"/>
        </w:rPr>
        <w:t>is</w:t>
      </w:r>
      <w:r w:rsidRPr="00C2509B">
        <w:rPr>
          <w:sz w:val="20"/>
          <w:szCs w:val="20"/>
          <w:lang w:val="en-US"/>
        </w:rPr>
        <w:t xml:space="preserve"> an implementation based option available for IAB operation</w:t>
      </w:r>
      <w:r>
        <w:rPr>
          <w:sz w:val="20"/>
          <w:szCs w:val="20"/>
          <w:lang w:val="en-US"/>
        </w:rPr>
        <w:t xml:space="preserve"> - t</w:t>
      </w:r>
      <w:r w:rsidRPr="00C2509B">
        <w:rPr>
          <w:sz w:val="20"/>
          <w:szCs w:val="20"/>
          <w:lang w:val="en-US"/>
        </w:rPr>
        <w:t xml:space="preserve">he specification support is in place already based on NR Rel-15. Mini-slot </w:t>
      </w:r>
      <w:r>
        <w:rPr>
          <w:sz w:val="20"/>
          <w:szCs w:val="20"/>
          <w:lang w:val="en-US"/>
        </w:rPr>
        <w:t>based operation</w:t>
      </w:r>
      <w:r w:rsidRPr="00C2509B">
        <w:rPr>
          <w:sz w:val="20"/>
          <w:szCs w:val="20"/>
          <w:lang w:val="en-US"/>
        </w:rPr>
        <w:t xml:space="preserve"> allows to minimize the latency involved in the IAB operation</w:t>
      </w:r>
      <w:r>
        <w:rPr>
          <w:sz w:val="20"/>
          <w:szCs w:val="20"/>
          <w:lang w:val="en-US"/>
        </w:rPr>
        <w:t xml:space="preserve"> but it will increase the system overhead</w:t>
      </w:r>
      <w:r w:rsidRPr="00C2509B">
        <w:rPr>
          <w:sz w:val="20"/>
          <w:szCs w:val="20"/>
          <w:lang w:val="en-US"/>
        </w:rPr>
        <w:t>.</w:t>
      </w:r>
      <w:r>
        <w:rPr>
          <w:sz w:val="20"/>
          <w:szCs w:val="20"/>
          <w:lang w:val="en-US"/>
        </w:rPr>
        <w:t xml:space="preserve"> </w:t>
      </w:r>
    </w:p>
    <w:p w14:paraId="078CBB5C" w14:textId="77777777" w:rsidR="00606731" w:rsidRDefault="00606731" w:rsidP="00606731">
      <w:pPr>
        <w:pStyle w:val="ListParagraph"/>
        <w:ind w:left="0"/>
        <w:jc w:val="both"/>
        <w:rPr>
          <w:sz w:val="20"/>
          <w:szCs w:val="20"/>
          <w:lang w:val="en-US"/>
        </w:rPr>
      </w:pPr>
    </w:p>
    <w:p w14:paraId="3CFC5EB6" w14:textId="77777777" w:rsidR="00606731" w:rsidRPr="00AD4FD0" w:rsidRDefault="00606731" w:rsidP="00606731">
      <w:pPr>
        <w:jc w:val="both"/>
        <w:rPr>
          <w:lang w:val="en-US"/>
        </w:rPr>
      </w:pPr>
      <w:r>
        <w:rPr>
          <w:lang w:val="en-US"/>
        </w:rPr>
        <w:t>It is also noted that IAB feature does not impact to the access link operation. Hence, it can be introduced without any backwards compatibility issues.</w:t>
      </w:r>
    </w:p>
    <w:p w14:paraId="38CA3EFD" w14:textId="55068890" w:rsidR="00606731" w:rsidRPr="005D55FF" w:rsidRDefault="00606731" w:rsidP="00606731">
      <w:pPr>
        <w:jc w:val="both"/>
        <w:rPr>
          <w:b/>
          <w:lang w:val="en-US"/>
        </w:rPr>
      </w:pPr>
      <w:r w:rsidRPr="005D55FF">
        <w:rPr>
          <w:b/>
          <w:lang w:val="en-US"/>
        </w:rPr>
        <w:t xml:space="preserve">Observation 1: </w:t>
      </w:r>
      <w:r>
        <w:rPr>
          <w:b/>
          <w:lang w:val="en-US"/>
        </w:rPr>
        <w:t xml:space="preserve">Resource allocation schemes developed for different access link scenarios can </w:t>
      </w:r>
      <w:r w:rsidR="00B4069C">
        <w:rPr>
          <w:b/>
          <w:lang w:val="en-US"/>
        </w:rPr>
        <w:t xml:space="preserve">be </w:t>
      </w:r>
      <w:r>
        <w:rPr>
          <w:b/>
          <w:lang w:val="en-US"/>
        </w:rPr>
        <w:t>reused for BH link.</w:t>
      </w:r>
    </w:p>
    <w:p w14:paraId="41DF45B4" w14:textId="77777777" w:rsidR="00606731" w:rsidRDefault="00606731" w:rsidP="00606731">
      <w:pPr>
        <w:pStyle w:val="ListParagraph"/>
        <w:ind w:left="0"/>
        <w:jc w:val="both"/>
        <w:rPr>
          <w:sz w:val="20"/>
          <w:szCs w:val="20"/>
          <w:lang w:val="en-US"/>
        </w:rPr>
      </w:pPr>
    </w:p>
    <w:p w14:paraId="2D81E368" w14:textId="77777777" w:rsidR="00606731" w:rsidRPr="008F64F8" w:rsidRDefault="00606731" w:rsidP="00606731">
      <w:pPr>
        <w:pStyle w:val="ListParagraph"/>
        <w:ind w:left="0"/>
        <w:jc w:val="both"/>
        <w:rPr>
          <w:sz w:val="20"/>
          <w:szCs w:val="20"/>
          <w:lang w:val="en-US"/>
        </w:rPr>
      </w:pPr>
      <w:r w:rsidRPr="008F64F8">
        <w:rPr>
          <w:sz w:val="20"/>
          <w:szCs w:val="20"/>
          <w:lang w:val="en-US"/>
        </w:rPr>
        <w:t>One of the key objectives of IAB SI is to investigate dynamic resource allocation between the backhaul and access links.</w:t>
      </w:r>
      <w:r>
        <w:rPr>
          <w:sz w:val="20"/>
          <w:szCs w:val="20"/>
          <w:lang w:val="en-US"/>
        </w:rPr>
        <w:t xml:space="preserve"> As discussed in [4] we consider GC-PDCCH as the signal facilitating dynamic resource allocation. In order to provide robust operation for the RN cell, GC-PDCCH needs to be transmitted via fixed DL BH resources. We think that possible GC-PDCCH enhancements taking into account different IAB scenarios need to be considered as part of the IAB RAN1 studies. </w:t>
      </w:r>
    </w:p>
    <w:p w14:paraId="6AFDDE87" w14:textId="77777777" w:rsidR="00606731" w:rsidRDefault="00606731" w:rsidP="00606731">
      <w:pPr>
        <w:pStyle w:val="ListParagraph"/>
        <w:ind w:left="0"/>
        <w:rPr>
          <w:sz w:val="20"/>
          <w:szCs w:val="20"/>
          <w:lang w:val="en-US"/>
        </w:rPr>
      </w:pPr>
    </w:p>
    <w:p w14:paraId="284EC167" w14:textId="77777777" w:rsidR="00606731" w:rsidRPr="005D55FF" w:rsidRDefault="00606731" w:rsidP="00606731">
      <w:pPr>
        <w:pStyle w:val="ListParagraph"/>
        <w:ind w:left="0"/>
        <w:jc w:val="both"/>
        <w:rPr>
          <w:b/>
          <w:sz w:val="20"/>
          <w:szCs w:val="20"/>
          <w:lang w:val="en-US"/>
        </w:rPr>
      </w:pPr>
      <w:r w:rsidRPr="005D55FF">
        <w:rPr>
          <w:b/>
          <w:sz w:val="20"/>
          <w:szCs w:val="20"/>
          <w:lang w:val="en-US"/>
        </w:rPr>
        <w:t xml:space="preserve">Proposal </w:t>
      </w:r>
      <w:r>
        <w:rPr>
          <w:b/>
          <w:sz w:val="20"/>
          <w:szCs w:val="20"/>
          <w:lang w:val="en-US"/>
        </w:rPr>
        <w:t>2</w:t>
      </w:r>
      <w:r w:rsidRPr="005D55FF">
        <w:rPr>
          <w:b/>
          <w:sz w:val="20"/>
          <w:szCs w:val="20"/>
          <w:lang w:val="en-US"/>
        </w:rPr>
        <w:t>: GC-PDCCH enhancements are needed to facilitate dynamic resource allocation between the backhaul and access links</w:t>
      </w:r>
      <w:r>
        <w:rPr>
          <w:b/>
          <w:sz w:val="20"/>
          <w:szCs w:val="20"/>
          <w:lang w:val="en-US"/>
        </w:rPr>
        <w:t xml:space="preserve"> as well as related interference coordination.</w:t>
      </w:r>
    </w:p>
    <w:p w14:paraId="705E56AB" w14:textId="77777777" w:rsidR="00606731" w:rsidRDefault="00606731" w:rsidP="00606731">
      <w:pPr>
        <w:pStyle w:val="ListParagraph"/>
        <w:ind w:left="0"/>
        <w:jc w:val="both"/>
        <w:rPr>
          <w:i/>
          <w:sz w:val="20"/>
          <w:szCs w:val="20"/>
          <w:lang w:val="en-US"/>
        </w:rPr>
      </w:pPr>
    </w:p>
    <w:p w14:paraId="6E2FDE8C" w14:textId="77777777" w:rsidR="00606731" w:rsidRDefault="00606731" w:rsidP="00606731">
      <w:pPr>
        <w:pStyle w:val="ListParagraph"/>
        <w:ind w:left="0"/>
        <w:jc w:val="both"/>
        <w:rPr>
          <w:sz w:val="20"/>
          <w:szCs w:val="20"/>
          <w:lang w:val="en-US"/>
        </w:rPr>
      </w:pPr>
      <w:r>
        <w:rPr>
          <w:sz w:val="20"/>
          <w:szCs w:val="20"/>
          <w:lang w:val="en-US"/>
        </w:rPr>
        <w:t>It is stated in the IAB SID</w:t>
      </w:r>
      <w:r w:rsidRPr="00124BA8">
        <w:rPr>
          <w:sz w:val="20"/>
          <w:szCs w:val="20"/>
          <w:lang w:val="en-US"/>
        </w:rPr>
        <w:t xml:space="preserve"> that “The 5G network shall support multi-hop wireless self-backhauling”.</w:t>
      </w:r>
      <w:r>
        <w:rPr>
          <w:sz w:val="20"/>
          <w:szCs w:val="20"/>
          <w:lang w:val="en-US"/>
        </w:rPr>
        <w:t xml:space="preserve"> The observation based on [4] is that f</w:t>
      </w:r>
      <w:r w:rsidRPr="00124BA8">
        <w:rPr>
          <w:sz w:val="20"/>
          <w:szCs w:val="20"/>
          <w:lang w:val="en-US"/>
        </w:rPr>
        <w:t xml:space="preserve">rom resource allocation point of view, </w:t>
      </w:r>
      <w:r>
        <w:rPr>
          <w:sz w:val="20"/>
          <w:szCs w:val="20"/>
          <w:lang w:val="en-US"/>
        </w:rPr>
        <w:t xml:space="preserve">the </w:t>
      </w:r>
      <w:r w:rsidRPr="00124BA8">
        <w:rPr>
          <w:sz w:val="20"/>
          <w:szCs w:val="20"/>
          <w:lang w:val="en-US"/>
        </w:rPr>
        <w:t xml:space="preserve">multi-hop scenario can be supported </w:t>
      </w:r>
      <w:r>
        <w:rPr>
          <w:sz w:val="20"/>
          <w:szCs w:val="20"/>
          <w:lang w:val="en-US"/>
        </w:rPr>
        <w:t xml:space="preserve">already </w:t>
      </w:r>
      <w:r w:rsidRPr="00124BA8">
        <w:rPr>
          <w:sz w:val="20"/>
          <w:szCs w:val="20"/>
          <w:lang w:val="en-US"/>
        </w:rPr>
        <w:t>by the existing NR Rel-15 solution</w:t>
      </w:r>
      <w:r>
        <w:rPr>
          <w:sz w:val="20"/>
          <w:szCs w:val="20"/>
          <w:lang w:val="en-US"/>
        </w:rPr>
        <w:t xml:space="preserve">. On the other hand, </w:t>
      </w:r>
      <w:r w:rsidRPr="00AD4FD0">
        <w:rPr>
          <w:sz w:val="20"/>
          <w:szCs w:val="20"/>
          <w:lang w:val="en-US"/>
        </w:rPr>
        <w:t>RN processing capability impacts to the overall IAB latency performance especially in the multi-hop scenarios.</w:t>
      </w:r>
      <w:r>
        <w:rPr>
          <w:sz w:val="20"/>
          <w:szCs w:val="20"/>
          <w:lang w:val="en-US"/>
        </w:rPr>
        <w:t xml:space="preserve"> In order to guarantee sufficient latency, there is a need to consider RN processing times in addition to the UE processing times defined in NR Rel-15. It is also noted in [4] that IAB scenario introduces additional latency components, which needs to be considered as part of the RAN1 IAB studies.</w:t>
      </w:r>
    </w:p>
    <w:p w14:paraId="3D798796" w14:textId="77777777" w:rsidR="00606731" w:rsidRPr="00124BA8" w:rsidRDefault="00606731" w:rsidP="00606731">
      <w:pPr>
        <w:pStyle w:val="ListParagraph"/>
        <w:ind w:left="0"/>
        <w:jc w:val="both"/>
        <w:rPr>
          <w:sz w:val="20"/>
          <w:szCs w:val="20"/>
          <w:lang w:val="en-US"/>
        </w:rPr>
      </w:pPr>
    </w:p>
    <w:p w14:paraId="7A536087" w14:textId="77777777" w:rsidR="00606731" w:rsidRPr="005D55FF" w:rsidRDefault="00606731" w:rsidP="00606731">
      <w:pPr>
        <w:pStyle w:val="ListParagraph"/>
        <w:ind w:left="0"/>
        <w:jc w:val="both"/>
        <w:rPr>
          <w:b/>
          <w:sz w:val="20"/>
          <w:szCs w:val="20"/>
          <w:lang w:val="en-US"/>
        </w:rPr>
      </w:pPr>
      <w:r w:rsidRPr="005D55FF">
        <w:rPr>
          <w:b/>
          <w:sz w:val="20"/>
          <w:szCs w:val="20"/>
          <w:lang w:val="en-US"/>
        </w:rPr>
        <w:lastRenderedPageBreak/>
        <w:t xml:space="preserve">Proposal </w:t>
      </w:r>
      <w:r>
        <w:rPr>
          <w:b/>
          <w:sz w:val="20"/>
          <w:szCs w:val="20"/>
          <w:lang w:val="en-US"/>
        </w:rPr>
        <w:t>3</w:t>
      </w:r>
      <w:r w:rsidRPr="005D55FF">
        <w:rPr>
          <w:b/>
          <w:sz w:val="20"/>
          <w:szCs w:val="20"/>
          <w:lang w:val="en-US"/>
        </w:rPr>
        <w:t>: RN processing time capabilities need to be discussed as part of the IAB studies.</w:t>
      </w:r>
    </w:p>
    <w:p w14:paraId="0932D19A" w14:textId="4CE006DB" w:rsidR="00EC4DEE" w:rsidRPr="00606731" w:rsidRDefault="00EC4DEE" w:rsidP="00EC4DEE">
      <w:pPr>
        <w:spacing w:after="0"/>
        <w:rPr>
          <w:rFonts w:eastAsia="MS Mincho"/>
          <w:lang w:eastAsia="ja-JP"/>
        </w:rPr>
      </w:pPr>
    </w:p>
    <w:p w14:paraId="25A072E5" w14:textId="6116178F" w:rsidR="00DB7641" w:rsidRDefault="006901CD" w:rsidP="00DB7641">
      <w:pPr>
        <w:pStyle w:val="Heading2"/>
        <w:rPr>
          <w:lang w:val="en-US"/>
        </w:rPr>
      </w:pPr>
      <w:r>
        <w:rPr>
          <w:lang w:val="en-US"/>
        </w:rPr>
        <w:t>2.2</w:t>
      </w:r>
      <w:r w:rsidR="00DB7641">
        <w:rPr>
          <w:lang w:val="en-US"/>
        </w:rPr>
        <w:tab/>
        <w:t>Radio measurements in IAB deployment</w:t>
      </w:r>
    </w:p>
    <w:p w14:paraId="24FAAF48" w14:textId="3C0F4456" w:rsidR="000A44E7" w:rsidRDefault="00DB7641" w:rsidP="00F74603">
      <w:pPr>
        <w:spacing w:after="0"/>
        <w:jc w:val="both"/>
        <w:rPr>
          <w:lang w:val="en-US"/>
        </w:rPr>
      </w:pPr>
      <w:r>
        <w:rPr>
          <w:rFonts w:eastAsia="MS Mincho"/>
          <w:lang w:val="en-US" w:eastAsia="ja-JP"/>
        </w:rPr>
        <w:t>I</w:t>
      </w:r>
      <w:r w:rsidR="00AF127E">
        <w:rPr>
          <w:rFonts w:eastAsia="MS Mincho"/>
          <w:lang w:eastAsia="ja-JP"/>
        </w:rPr>
        <w:t>n [3</w:t>
      </w:r>
      <w:r>
        <w:rPr>
          <w:rFonts w:eastAsia="MS Mincho"/>
          <w:lang w:eastAsia="ja-JP"/>
        </w:rPr>
        <w:t>], we consider</w:t>
      </w:r>
      <w:r w:rsidR="00F74603">
        <w:rPr>
          <w:rFonts w:eastAsia="MS Mincho"/>
          <w:lang w:eastAsia="ja-JP"/>
        </w:rPr>
        <w:t xml:space="preserve"> separately the </w:t>
      </w:r>
      <w:r w:rsidR="007D164A">
        <w:rPr>
          <w:rFonts w:eastAsia="MS Mincho"/>
          <w:lang w:eastAsia="ja-JP"/>
        </w:rPr>
        <w:t>measurements</w:t>
      </w:r>
      <w:r w:rsidR="00D87FEF">
        <w:rPr>
          <w:rFonts w:eastAsia="MS Mincho"/>
          <w:lang w:eastAsia="ja-JP"/>
        </w:rPr>
        <w:t xml:space="preserve"> before and after an IAB Node</w:t>
      </w:r>
      <w:r w:rsidR="00F74603">
        <w:rPr>
          <w:rFonts w:eastAsia="MS Mincho"/>
          <w:lang w:eastAsia="ja-JP"/>
        </w:rPr>
        <w:t xml:space="preserve"> activation for serving its cell. Before activation</w:t>
      </w:r>
      <w:r w:rsidR="00526322">
        <w:rPr>
          <w:rFonts w:eastAsia="MS Mincho"/>
          <w:lang w:eastAsia="ja-JP"/>
        </w:rPr>
        <w:t>,</w:t>
      </w:r>
      <w:r w:rsidR="00F74603">
        <w:rPr>
          <w:rFonts w:eastAsia="MS Mincho"/>
          <w:lang w:eastAsia="ja-JP"/>
        </w:rPr>
        <w:t xml:space="preserve"> the</w:t>
      </w:r>
      <w:r w:rsidR="00526322">
        <w:rPr>
          <w:rFonts w:eastAsia="MS Mincho"/>
          <w:lang w:eastAsia="ja-JP"/>
        </w:rPr>
        <w:t xml:space="preserve"> </w:t>
      </w:r>
      <w:r w:rsidR="00526322">
        <w:rPr>
          <w:lang w:val="en-US"/>
        </w:rPr>
        <w:t>UE component of the IAB node selects and accesses the best cell like a normal UE</w:t>
      </w:r>
      <w:r w:rsidR="00D87FEF">
        <w:rPr>
          <w:lang w:val="en-US"/>
        </w:rPr>
        <w:t>,</w:t>
      </w:r>
      <w:r w:rsidR="00526322">
        <w:rPr>
          <w:lang w:val="en-US"/>
        </w:rPr>
        <w:t xml:space="preserve"> except that it could be configured to search for only </w:t>
      </w:r>
      <w:r w:rsidR="000474A4">
        <w:rPr>
          <w:lang w:val="en-US"/>
        </w:rPr>
        <w:t>nodes</w:t>
      </w:r>
      <w:r w:rsidR="00880279">
        <w:rPr>
          <w:lang w:val="en-US"/>
        </w:rPr>
        <w:t xml:space="preserve"> that</w:t>
      </w:r>
      <w:r w:rsidR="00D87FEF">
        <w:rPr>
          <w:lang w:val="en-US"/>
        </w:rPr>
        <w:t xml:space="preserve"> broadcast an indication of IAB support. Such broadcasted indication is not necessary, but higher layers could move the connection to an IAB supporting n</w:t>
      </w:r>
      <w:r w:rsidR="000474A4">
        <w:rPr>
          <w:lang w:val="en-US"/>
        </w:rPr>
        <w:t>ode after the first access. After the connection establishment, RRM</w:t>
      </w:r>
      <w:r w:rsidR="000474A4" w:rsidRPr="002859A9">
        <w:rPr>
          <w:lang w:val="en-US"/>
        </w:rPr>
        <w:t xml:space="preserve"> </w:t>
      </w:r>
      <w:r w:rsidR="000474A4">
        <w:rPr>
          <w:lang w:val="en-US"/>
        </w:rPr>
        <w:t xml:space="preserve">could configure </w:t>
      </w:r>
      <w:r w:rsidR="000474A4" w:rsidRPr="002859A9">
        <w:rPr>
          <w:lang w:val="en-US"/>
        </w:rPr>
        <w:t>measurements</w:t>
      </w:r>
      <w:r w:rsidR="000474A4">
        <w:rPr>
          <w:lang w:val="en-US"/>
        </w:rPr>
        <w:t xml:space="preserve"> for recording the radio conditions to nearby IAB supporting</w:t>
      </w:r>
      <w:r w:rsidR="000A44E7">
        <w:rPr>
          <w:lang w:val="en-US"/>
        </w:rPr>
        <w:t xml:space="preserve"> nodes, and </w:t>
      </w:r>
      <w:r w:rsidR="00F75240">
        <w:rPr>
          <w:lang w:val="en-US"/>
        </w:rPr>
        <w:t xml:space="preserve">the </w:t>
      </w:r>
      <w:r w:rsidR="000A44E7">
        <w:rPr>
          <w:lang w:val="en-US"/>
        </w:rPr>
        <w:t>report of measurement results could lead to connection handover to a better node</w:t>
      </w:r>
      <w:r w:rsidR="00C47EB8">
        <w:rPr>
          <w:lang w:val="en-US"/>
        </w:rPr>
        <w:t xml:space="preserve">. This may be </w:t>
      </w:r>
      <w:r w:rsidR="000A44E7">
        <w:rPr>
          <w:lang w:val="en-US"/>
        </w:rPr>
        <w:t>assist</w:t>
      </w:r>
      <w:r w:rsidR="00C47EB8">
        <w:rPr>
          <w:lang w:val="en-US"/>
        </w:rPr>
        <w:t>ed</w:t>
      </w:r>
      <w:r w:rsidR="000A44E7">
        <w:rPr>
          <w:lang w:val="en-US"/>
        </w:rPr>
        <w:t xml:space="preserve"> </w:t>
      </w:r>
      <w:r w:rsidR="00C47EB8">
        <w:rPr>
          <w:lang w:val="en-US"/>
        </w:rPr>
        <w:t xml:space="preserve">by </w:t>
      </w:r>
      <w:r w:rsidR="000A44E7">
        <w:rPr>
          <w:lang w:val="en-US"/>
        </w:rPr>
        <w:t>a topology manager.</w:t>
      </w:r>
    </w:p>
    <w:p w14:paraId="1F91E260" w14:textId="77777777" w:rsidR="000A44E7" w:rsidRDefault="000A44E7" w:rsidP="00F74603">
      <w:pPr>
        <w:spacing w:after="0"/>
        <w:jc w:val="both"/>
        <w:rPr>
          <w:lang w:val="en-US"/>
        </w:rPr>
      </w:pPr>
    </w:p>
    <w:p w14:paraId="0058D694" w14:textId="4B5806AF" w:rsidR="000474A4" w:rsidRDefault="000A44E7" w:rsidP="00F74603">
      <w:pPr>
        <w:spacing w:after="0"/>
        <w:jc w:val="both"/>
        <w:rPr>
          <w:lang w:val="en-US"/>
        </w:rPr>
      </w:pPr>
      <w:r>
        <w:rPr>
          <w:lang w:val="en-US"/>
        </w:rPr>
        <w:t>The measurement results of the cell search and cell selection phase can be utilized in the monitoring phase e.g. to limit the monitoring only to the best cells for candidate BH connections. This way extensive measurements would be done before activation of the node for IAB operation. After the activation, measurement possibilities are more constrained.</w:t>
      </w:r>
      <w:r w:rsidR="000474A4">
        <w:rPr>
          <w:lang w:val="en-US"/>
        </w:rPr>
        <w:t xml:space="preserve"> </w:t>
      </w:r>
    </w:p>
    <w:p w14:paraId="27733B64" w14:textId="77777777" w:rsidR="000474A4" w:rsidRDefault="000474A4" w:rsidP="00F74603">
      <w:pPr>
        <w:spacing w:after="0"/>
        <w:jc w:val="both"/>
        <w:rPr>
          <w:lang w:val="en-US"/>
        </w:rPr>
      </w:pPr>
    </w:p>
    <w:p w14:paraId="7A6C46E1" w14:textId="373E6A16" w:rsidR="000474A4" w:rsidRDefault="000474A4" w:rsidP="000474A4">
      <w:pPr>
        <w:rPr>
          <w:b/>
          <w:lang w:val="en-US"/>
        </w:rPr>
      </w:pPr>
      <w:r>
        <w:rPr>
          <w:b/>
          <w:lang w:val="en-US"/>
        </w:rPr>
        <w:t>Observation</w:t>
      </w:r>
      <w:r w:rsidR="00646256">
        <w:rPr>
          <w:b/>
          <w:lang w:val="en-US"/>
        </w:rPr>
        <w:t xml:space="preserve"> 2</w:t>
      </w:r>
      <w:r>
        <w:rPr>
          <w:b/>
          <w:lang w:val="en-US"/>
        </w:rPr>
        <w:t>: Detected cells and related measurement results obtained during the cell search/selection phase can be utilized as the basis for the cell monitoring during the active IAB operation.</w:t>
      </w:r>
    </w:p>
    <w:p w14:paraId="3C155F64" w14:textId="431DD892" w:rsidR="00623717" w:rsidRDefault="000A44E7" w:rsidP="00F74603">
      <w:pPr>
        <w:spacing w:after="0"/>
        <w:jc w:val="both"/>
      </w:pPr>
      <w:r>
        <w:t>While having active connections over the BH and access links</w:t>
      </w:r>
      <w:r w:rsidRPr="00536BB2">
        <w:t>, an IAB Node should be able to monitor other neighboring nodes (Donors and other IAB Nodes) being candidate</w:t>
      </w:r>
      <w:r>
        <w:t xml:space="preserve">s for </w:t>
      </w:r>
      <w:r w:rsidR="000D4FD7">
        <w:t xml:space="preserve">a </w:t>
      </w:r>
      <w:r>
        <w:t>BH connection</w:t>
      </w:r>
      <w:r w:rsidR="00B71F30">
        <w:t xml:space="preserve">. Candidate connections are needed </w:t>
      </w:r>
      <w:r w:rsidR="00363112">
        <w:t xml:space="preserve">to prepare for a connection change </w:t>
      </w:r>
      <w:r w:rsidR="003E1F8A">
        <w:t xml:space="preserve">potentially required </w:t>
      </w:r>
      <w:r w:rsidR="00363112">
        <w:t xml:space="preserve">due </w:t>
      </w:r>
      <w:r w:rsidR="000D4FD7">
        <w:t>to b</w:t>
      </w:r>
      <w:r>
        <w:t>lockage</w:t>
      </w:r>
      <w:r w:rsidR="00363112">
        <w:t xml:space="preserve"> or congestion</w:t>
      </w:r>
      <w:r w:rsidR="00B71F30">
        <w:t xml:space="preserve"> of </w:t>
      </w:r>
      <w:r w:rsidR="00363112">
        <w:t xml:space="preserve">a </w:t>
      </w:r>
      <w:r w:rsidR="00B71F30">
        <w:t>radio cha</w:t>
      </w:r>
      <w:r w:rsidR="00363112">
        <w:t xml:space="preserve">nnel. </w:t>
      </w:r>
      <w:r w:rsidR="00623717">
        <w:rPr>
          <w:lang w:val="en-US"/>
        </w:rPr>
        <w:t>The candidate connections can be between two IAB Nodes under a Donor or between nodes under different Donors.</w:t>
      </w:r>
      <w:r w:rsidR="000D4FD7">
        <w:rPr>
          <w:lang w:val="en-US"/>
        </w:rPr>
        <w:t xml:space="preserve"> For monitoring of candidate connections, IAB nodes </w:t>
      </w:r>
      <w:r w:rsidR="003E1F8A">
        <w:rPr>
          <w:lang w:val="en-US"/>
        </w:rPr>
        <w:t xml:space="preserve">should be provided with sufficient </w:t>
      </w:r>
      <w:r w:rsidR="000D4FD7">
        <w:rPr>
          <w:lang w:val="en-US"/>
        </w:rPr>
        <w:t xml:space="preserve">measurement </w:t>
      </w:r>
      <w:r w:rsidR="003E1F8A">
        <w:rPr>
          <w:lang w:val="en-US"/>
        </w:rPr>
        <w:t xml:space="preserve">opportunities matching with the </w:t>
      </w:r>
      <w:r w:rsidR="000D4FD7">
        <w:rPr>
          <w:lang w:val="en-US"/>
        </w:rPr>
        <w:t>transmi</w:t>
      </w:r>
      <w:r w:rsidR="003E1F8A">
        <w:rPr>
          <w:lang w:val="en-US"/>
        </w:rPr>
        <w:t xml:space="preserve">ssion of </w:t>
      </w:r>
      <w:r w:rsidR="000D4FD7">
        <w:rPr>
          <w:lang w:val="en-US"/>
        </w:rPr>
        <w:t xml:space="preserve"> reference signals</w:t>
      </w:r>
      <w:r w:rsidR="003E1F8A">
        <w:rPr>
          <w:lang w:val="en-US"/>
        </w:rPr>
        <w:t xml:space="preserve"> by the other nodes</w:t>
      </w:r>
      <w:r w:rsidR="000D4FD7">
        <w:rPr>
          <w:lang w:val="en-US"/>
        </w:rPr>
        <w:t xml:space="preserve">. </w:t>
      </w:r>
      <w:r w:rsidR="00800F33">
        <w:rPr>
          <w:lang w:val="en-US"/>
        </w:rPr>
        <w:t>T</w:t>
      </w:r>
      <w:r w:rsidR="000D4FD7">
        <w:rPr>
          <w:lang w:val="en-US"/>
        </w:rPr>
        <w:t>hese configurations may be conflicting with</w:t>
      </w:r>
      <w:r w:rsidR="00516D3F">
        <w:rPr>
          <w:lang w:val="en-US"/>
        </w:rPr>
        <w:t xml:space="preserve"> </w:t>
      </w:r>
      <w:r w:rsidR="00516D3F">
        <w:t>the resource allocations for BH and access links</w:t>
      </w:r>
      <w:r w:rsidR="00646256">
        <w:t xml:space="preserve">: </w:t>
      </w:r>
      <w:r w:rsidR="00800F33">
        <w:t>following the configurations may cause a deviation in the RX/TX pattern</w:t>
      </w:r>
      <w:r w:rsidR="00BF3FF0">
        <w:t xml:space="preserve"> such that reception takes place </w:t>
      </w:r>
      <w:r w:rsidR="00EB713E">
        <w:t xml:space="preserve">at time instants/slots </w:t>
      </w:r>
      <w:r w:rsidR="00800F33" w:rsidRPr="000A1747">
        <w:t xml:space="preserve">that </w:t>
      </w:r>
      <w:r w:rsidR="00800F33">
        <w:t xml:space="preserve">may </w:t>
      </w:r>
      <w:r w:rsidR="00800F33" w:rsidRPr="000A1747">
        <w:t xml:space="preserve">normally </w:t>
      </w:r>
      <w:r w:rsidR="00800F33">
        <w:t xml:space="preserve">be </w:t>
      </w:r>
      <w:r w:rsidR="00800F33" w:rsidRPr="000A1747">
        <w:t>used for transmission</w:t>
      </w:r>
      <w:r w:rsidR="00800F33">
        <w:t>,</w:t>
      </w:r>
      <w:r w:rsidR="00800F33" w:rsidRPr="000A1747">
        <w:t xml:space="preserve"> or </w:t>
      </w:r>
      <w:r w:rsidR="00EB713E">
        <w:t xml:space="preserve">transmission (of reference signals) would happen at time instants/slots </w:t>
      </w:r>
      <w:r w:rsidR="00800F33" w:rsidRPr="000A1747">
        <w:t>t</w:t>
      </w:r>
      <w:r w:rsidR="00BF3FF0">
        <w:t>hat are</w:t>
      </w:r>
      <w:r w:rsidR="00800F33" w:rsidRPr="00430E20">
        <w:t xml:space="preserve"> normally </w:t>
      </w:r>
      <w:r w:rsidR="00EB713E">
        <w:t xml:space="preserve">allocated </w:t>
      </w:r>
      <w:r w:rsidR="00800F33" w:rsidRPr="00430E20">
        <w:t>for reception.</w:t>
      </w:r>
      <w:r w:rsidR="00646256">
        <w:t xml:space="preserve"> </w:t>
      </w:r>
      <w:r w:rsidR="00800F33">
        <w:t xml:space="preserve">   </w:t>
      </w:r>
      <w:r w:rsidR="000D4FD7">
        <w:rPr>
          <w:lang w:val="en-US"/>
        </w:rPr>
        <w:t xml:space="preserve">   </w:t>
      </w:r>
      <w:r w:rsidR="0098755A">
        <w:t xml:space="preserve"> </w:t>
      </w:r>
    </w:p>
    <w:p w14:paraId="6826F796" w14:textId="7095E4B5" w:rsidR="00623717" w:rsidRDefault="00623717" w:rsidP="00F74603">
      <w:pPr>
        <w:spacing w:after="0"/>
        <w:jc w:val="both"/>
      </w:pPr>
    </w:p>
    <w:p w14:paraId="436AEA60" w14:textId="29B23C08" w:rsidR="00BF3FF0" w:rsidRPr="006C6E86" w:rsidRDefault="00BF3FF0" w:rsidP="00BF3FF0">
      <w:pPr>
        <w:rPr>
          <w:b/>
        </w:rPr>
      </w:pPr>
      <w:r w:rsidRPr="00BF3FF0">
        <w:rPr>
          <w:b/>
        </w:rPr>
        <w:t xml:space="preserve">Proposal 4: </w:t>
      </w:r>
      <w:r w:rsidR="00EB713E">
        <w:rPr>
          <w:b/>
        </w:rPr>
        <w:t>To enable inter-IAB node monitoring there shall be means to configure measurement opportunities for some IAB nodes matching with the reference signal transmissions of the monitored IAB nodes.</w:t>
      </w:r>
    </w:p>
    <w:p w14:paraId="5C964777" w14:textId="35B5CF3B" w:rsidR="00DB7641" w:rsidRPr="00C90828" w:rsidRDefault="00117553" w:rsidP="008B0E47">
      <w:pPr>
        <w:rPr>
          <w:lang w:val="en-US"/>
        </w:rPr>
      </w:pPr>
      <w:r w:rsidRPr="008B0E47">
        <w:t>A que</w:t>
      </w:r>
      <w:r w:rsidR="006567C6" w:rsidRPr="008B0E47">
        <w:t>stion is whether IAB monitoring should be based on SSBs or</w:t>
      </w:r>
      <w:r w:rsidR="00F75240">
        <w:t xml:space="preserve"> CSI-RS as both</w:t>
      </w:r>
      <w:r w:rsidR="006567C6" w:rsidRPr="008B0E47">
        <w:t xml:space="preserve"> may be configured for normal UE mobility measurements. </w:t>
      </w:r>
      <w:r w:rsidR="008B0E47" w:rsidRPr="008B0E47">
        <w:t xml:space="preserve">The use of </w:t>
      </w:r>
      <w:r w:rsidR="008B0E47" w:rsidRPr="008B0E47">
        <w:rPr>
          <w:lang w:val="en-US"/>
        </w:rPr>
        <w:t>SSBs for IAB monitoring is restricted by the measurement timing configuration, SSB transmission by the (monitoring) IAB node in the cell served by itself and the half-duplex constraint.</w:t>
      </w:r>
      <w:r w:rsidR="00C90828">
        <w:rPr>
          <w:lang w:val="en-US"/>
        </w:rPr>
        <w:t xml:space="preserve"> On the other hand, CSI-RS transmissions can be separately configured for certain connections without having direct impact on other connections or measurements. Furthermore, CSI-RS transmissions can be configured for narrower beams than used for SSBs and therefore could provide possibility for beam evaluation for a candidate BH link.</w:t>
      </w:r>
      <w:r w:rsidR="00C90828" w:rsidRPr="00C90828">
        <w:t xml:space="preserve"> </w:t>
      </w:r>
      <w:r w:rsidR="00C90828">
        <w:t>CSI-RS measurements seem to provide better flexibility and therefore would be better suited for IAB monitoring we propose:</w:t>
      </w:r>
      <w:r w:rsidR="00C90828">
        <w:rPr>
          <w:lang w:val="en-US"/>
        </w:rPr>
        <w:t xml:space="preserve">   </w:t>
      </w:r>
      <w:r w:rsidR="006567C6" w:rsidRPr="008B0E47">
        <w:t xml:space="preserve">   </w:t>
      </w:r>
      <w:r w:rsidRPr="008B0E47">
        <w:t xml:space="preserve"> </w:t>
      </w:r>
      <w:r w:rsidR="00BF3FF0" w:rsidRPr="008B0E47">
        <w:t xml:space="preserve"> </w:t>
      </w:r>
    </w:p>
    <w:p w14:paraId="2CFA42FF" w14:textId="428AB74D" w:rsidR="006567C6" w:rsidRPr="00721E0F" w:rsidRDefault="006567C6" w:rsidP="006567C6">
      <w:pPr>
        <w:rPr>
          <w:b/>
        </w:rPr>
      </w:pPr>
      <w:r w:rsidRPr="00721E0F">
        <w:rPr>
          <w:b/>
        </w:rPr>
        <w:t>Proposal</w:t>
      </w:r>
      <w:r w:rsidR="00E20124">
        <w:rPr>
          <w:b/>
        </w:rPr>
        <w:t xml:space="preserve"> 5</w:t>
      </w:r>
      <w:r w:rsidRPr="00721E0F">
        <w:rPr>
          <w:b/>
        </w:rPr>
        <w:t>:</w:t>
      </w:r>
      <w:r w:rsidR="00EA7555">
        <w:rPr>
          <w:b/>
        </w:rPr>
        <w:t xml:space="preserve"> RAN1</w:t>
      </w:r>
      <w:r>
        <w:rPr>
          <w:b/>
        </w:rPr>
        <w:t xml:space="preserve"> is asked to consider CSI-RS measurements as a suitable option for IAB monitoring.</w:t>
      </w:r>
    </w:p>
    <w:p w14:paraId="4973DC8B" w14:textId="77777777" w:rsidR="00921AA2" w:rsidRPr="00DB7641" w:rsidRDefault="00921AA2" w:rsidP="00EC4DEE">
      <w:pPr>
        <w:spacing w:after="0"/>
        <w:rPr>
          <w:rFonts w:eastAsia="MS Mincho"/>
          <w:lang w:eastAsia="ja-JP"/>
        </w:rPr>
      </w:pPr>
    </w:p>
    <w:p w14:paraId="7D9FBF5B" w14:textId="1FF382E2" w:rsidR="00EC4DEE" w:rsidRDefault="00927BDE" w:rsidP="00EC4DEE">
      <w:pPr>
        <w:pStyle w:val="Heading2"/>
        <w:rPr>
          <w:lang w:val="en-US"/>
        </w:rPr>
      </w:pPr>
      <w:r>
        <w:rPr>
          <w:lang w:val="en-US"/>
        </w:rPr>
        <w:t>2.</w:t>
      </w:r>
      <w:r w:rsidR="006901CD">
        <w:rPr>
          <w:lang w:val="en-US"/>
        </w:rPr>
        <w:t>3</w:t>
      </w:r>
      <w:r>
        <w:rPr>
          <w:lang w:val="en-US"/>
        </w:rPr>
        <w:tab/>
        <w:t>Cross-link interference in IAB scenario</w:t>
      </w:r>
    </w:p>
    <w:p w14:paraId="3DE17DF5" w14:textId="3BA8D6A0" w:rsidR="006B27AC" w:rsidRDefault="006B27AC" w:rsidP="008A215D">
      <w:pPr>
        <w:spacing w:after="0"/>
        <w:jc w:val="both"/>
        <w:rPr>
          <w:lang w:val="en-US"/>
        </w:rPr>
      </w:pPr>
      <w:r>
        <w:rPr>
          <w:lang w:val="en-US"/>
        </w:rPr>
        <w:t xml:space="preserve">We </w:t>
      </w:r>
      <w:r w:rsidR="00EA64B3">
        <w:rPr>
          <w:lang w:val="en-US"/>
        </w:rPr>
        <w:t xml:space="preserve">discuss </w:t>
      </w:r>
      <w:r>
        <w:rPr>
          <w:lang w:val="en-US"/>
        </w:rPr>
        <w:t>interference management issue</w:t>
      </w:r>
      <w:r w:rsidR="00EA64B3">
        <w:rPr>
          <w:lang w:val="en-US"/>
        </w:rPr>
        <w:t>s related to different IAB scenarios in</w:t>
      </w:r>
      <w:r>
        <w:rPr>
          <w:lang w:val="en-US"/>
        </w:rPr>
        <w:t xml:space="preserve"> </w:t>
      </w:r>
      <w:r>
        <w:rPr>
          <w:lang w:val="en-US"/>
        </w:rPr>
        <w:fldChar w:fldCharType="begin"/>
      </w:r>
      <w:r>
        <w:rPr>
          <w:lang w:val="en-US"/>
        </w:rPr>
        <w:instrText xml:space="preserve"> REF _Ref510687574 \r \h </w:instrText>
      </w:r>
      <w:r w:rsidR="008A215D">
        <w:rPr>
          <w:lang w:val="en-US"/>
        </w:rPr>
        <w:instrText xml:space="preserve"> \* MERGEFORMAT </w:instrText>
      </w:r>
      <w:r>
        <w:rPr>
          <w:lang w:val="en-US"/>
        </w:rPr>
      </w:r>
      <w:r>
        <w:rPr>
          <w:lang w:val="en-US"/>
        </w:rPr>
        <w:fldChar w:fldCharType="separate"/>
      </w:r>
      <w:r>
        <w:rPr>
          <w:lang w:val="en-US"/>
        </w:rPr>
        <w:t>[5]</w:t>
      </w:r>
      <w:r>
        <w:rPr>
          <w:lang w:val="en-US"/>
        </w:rPr>
        <w:fldChar w:fldCharType="end"/>
      </w:r>
      <w:r>
        <w:rPr>
          <w:lang w:val="en-US"/>
        </w:rPr>
        <w:t xml:space="preserve">. </w:t>
      </w:r>
      <w:r w:rsidR="00EA64B3">
        <w:rPr>
          <w:lang w:val="en-US"/>
        </w:rPr>
        <w:t xml:space="preserve">As discussed, </w:t>
      </w:r>
      <w:r>
        <w:rPr>
          <w:lang w:val="en-US"/>
        </w:rPr>
        <w:t>IAB scenario with half-duplex constraint and TDM between access and backhaul links</w:t>
      </w:r>
      <w:r w:rsidRPr="006B27AC">
        <w:rPr>
          <w:lang w:val="en-US"/>
        </w:rPr>
        <w:t xml:space="preserve"> </w:t>
      </w:r>
      <w:r w:rsidR="00EA64B3">
        <w:rPr>
          <w:lang w:val="en-US"/>
        </w:rPr>
        <w:t>can be</w:t>
      </w:r>
      <w:r>
        <w:rPr>
          <w:lang w:val="en-US"/>
        </w:rPr>
        <w:t xml:space="preserve"> operate</w:t>
      </w:r>
      <w:r w:rsidR="00EA64B3">
        <w:rPr>
          <w:lang w:val="en-US"/>
        </w:rPr>
        <w:t>d</w:t>
      </w:r>
      <w:r>
        <w:rPr>
          <w:lang w:val="en-US"/>
        </w:rPr>
        <w:t xml:space="preserve"> without any</w:t>
      </w:r>
      <w:r w:rsidRPr="006B27AC">
        <w:rPr>
          <w:lang w:val="en-US"/>
        </w:rPr>
        <w:t xml:space="preserve"> cross-link interference.</w:t>
      </w:r>
      <w:r>
        <w:rPr>
          <w:lang w:val="en-US"/>
        </w:rPr>
        <w:t xml:space="preserve"> This requires coor</w:t>
      </w:r>
      <w:r w:rsidR="00EA64B3">
        <w:rPr>
          <w:lang w:val="en-US"/>
        </w:rPr>
        <w:t>dinated resource usage</w:t>
      </w:r>
      <w:r>
        <w:rPr>
          <w:lang w:val="en-US"/>
        </w:rPr>
        <w:t xml:space="preserve"> </w:t>
      </w:r>
      <w:r w:rsidR="00F072C0">
        <w:rPr>
          <w:lang w:val="en-US"/>
        </w:rPr>
        <w:t xml:space="preserve">between donor gNB and IAB nodes, which can be done 1) based on higher layer signaling in the case of fixed split between access and backhaul link resources </w:t>
      </w:r>
      <w:r w:rsidR="00A24372">
        <w:rPr>
          <w:lang w:val="en-US"/>
        </w:rPr>
        <w:t>or</w:t>
      </w:r>
      <w:r w:rsidR="00F072C0">
        <w:rPr>
          <w:lang w:val="en-US"/>
        </w:rPr>
        <w:t xml:space="preserve"> 2) based on GC-PDCCH in the case of dynamic split between access and backhaul link resources [4].</w:t>
      </w:r>
    </w:p>
    <w:p w14:paraId="6C934358" w14:textId="688B7C87" w:rsidR="00EA64B3" w:rsidRDefault="00EA64B3" w:rsidP="008A215D">
      <w:pPr>
        <w:spacing w:after="0"/>
        <w:jc w:val="both"/>
        <w:rPr>
          <w:lang w:val="en-US"/>
        </w:rPr>
      </w:pPr>
    </w:p>
    <w:p w14:paraId="568ECE9B" w14:textId="1ADBE4FD" w:rsidR="00EA64B3" w:rsidRPr="00EC1F80" w:rsidRDefault="00EA64B3" w:rsidP="008A215D">
      <w:pPr>
        <w:jc w:val="both"/>
        <w:rPr>
          <w:b/>
        </w:rPr>
      </w:pPr>
      <w:r>
        <w:rPr>
          <w:b/>
        </w:rPr>
        <w:t xml:space="preserve">Observation </w:t>
      </w:r>
      <w:r w:rsidR="00904F99">
        <w:rPr>
          <w:b/>
        </w:rPr>
        <w:t>3</w:t>
      </w:r>
      <w:r w:rsidRPr="00006E3A">
        <w:rPr>
          <w:b/>
        </w:rPr>
        <w:t xml:space="preserve">: </w:t>
      </w:r>
      <w:r w:rsidRPr="00EA64B3">
        <w:rPr>
          <w:b/>
        </w:rPr>
        <w:t xml:space="preserve">GC-PDCCH </w:t>
      </w:r>
      <w:r w:rsidR="00A24372">
        <w:rPr>
          <w:b/>
        </w:rPr>
        <w:t xml:space="preserve">can enable </w:t>
      </w:r>
      <w:r w:rsidRPr="00EA64B3">
        <w:rPr>
          <w:b/>
        </w:rPr>
        <w:t xml:space="preserve">interference coordination between DgNB cell and RN cell(s) </w:t>
      </w:r>
      <w:r w:rsidR="00A24372">
        <w:rPr>
          <w:b/>
        </w:rPr>
        <w:t xml:space="preserve">with dynamic split between Access/BH </w:t>
      </w:r>
      <w:r w:rsidRPr="00EA64B3">
        <w:rPr>
          <w:b/>
        </w:rPr>
        <w:t>in such that the network can be operated free from cross-link interference</w:t>
      </w:r>
    </w:p>
    <w:p w14:paraId="4AF6BC28" w14:textId="769D18D4" w:rsidR="00F072C0" w:rsidRDefault="00F072C0" w:rsidP="008A215D">
      <w:pPr>
        <w:spacing w:after="0"/>
        <w:jc w:val="both"/>
        <w:rPr>
          <w:lang w:val="en-US"/>
        </w:rPr>
      </w:pPr>
    </w:p>
    <w:p w14:paraId="67BEE56C" w14:textId="6ACD59DA" w:rsidR="00F072C0" w:rsidRDefault="00F072C0" w:rsidP="008A215D">
      <w:pPr>
        <w:spacing w:after="0"/>
        <w:jc w:val="both"/>
        <w:rPr>
          <w:lang w:val="en-US"/>
        </w:rPr>
      </w:pPr>
      <w:r>
        <w:rPr>
          <w:lang w:val="en-US"/>
        </w:rPr>
        <w:t xml:space="preserve">Cross-link interference needs to be taken into account in the half-duplex IAB scenario with SDM/FDM between access and backhaul links [5]. </w:t>
      </w:r>
      <w:r w:rsidRPr="00F072C0">
        <w:rPr>
          <w:lang w:val="en-US"/>
        </w:rPr>
        <w:t>To guarantee a robust reception of PD</w:t>
      </w:r>
      <w:r>
        <w:rPr>
          <w:lang w:val="en-US"/>
        </w:rPr>
        <w:t>CCH/PDS</w:t>
      </w:r>
      <w:r w:rsidRPr="00F072C0">
        <w:rPr>
          <w:lang w:val="en-US"/>
        </w:rPr>
        <w:t xml:space="preserve">CH in the presence of UL to DL cross-link interference between UEs with access links, the cross-link interference needs to be taken into account as a part of NR Rel-16 studies. It is worth noting that the observed UL-to-DL cross-link interference between different UEs with access links </w:t>
      </w:r>
      <w:r w:rsidR="00EA64B3">
        <w:rPr>
          <w:lang w:val="en-US"/>
        </w:rPr>
        <w:t xml:space="preserve">is </w:t>
      </w:r>
      <w:r w:rsidRPr="00F072C0">
        <w:rPr>
          <w:lang w:val="en-US"/>
        </w:rPr>
        <w:t xml:space="preserve">identical with dynamic TDD scenarios. Therefore, it is not reasonable to develop any IAB specific cross-link </w:t>
      </w:r>
      <w:r w:rsidRPr="00F072C0">
        <w:rPr>
          <w:lang w:val="en-US"/>
        </w:rPr>
        <w:lastRenderedPageBreak/>
        <w:t xml:space="preserve">interference measurement, signaling and mitigation solutions. Instead of focusing for developing IAB specific cross-link interference management solutions, there is a need to develop </w:t>
      </w:r>
      <w:r w:rsidR="00EA64B3" w:rsidRPr="00F072C0">
        <w:rPr>
          <w:lang w:val="en-US"/>
        </w:rPr>
        <w:t>a</w:t>
      </w:r>
      <w:r w:rsidRPr="00F072C0">
        <w:rPr>
          <w:lang w:val="en-US"/>
        </w:rPr>
        <w:t xml:space="preserve"> unified cross-link interference management framework under single WI, e.g. flexible duplexing or MIMO, covering all potential use-cases, e.g. dynamic TDD and IAB, etc. The developed cross-link interference management solutions should be based on UL and DL reference signals, interference measurements developed under NR Rel-15 MIMO.</w:t>
      </w:r>
      <w:r>
        <w:rPr>
          <w:lang w:val="en-US"/>
        </w:rPr>
        <w:t xml:space="preserve">  </w:t>
      </w:r>
    </w:p>
    <w:p w14:paraId="05A21D06" w14:textId="6ABB12D8" w:rsidR="00F072C0" w:rsidRDefault="00F072C0" w:rsidP="00EC4DEE">
      <w:pPr>
        <w:spacing w:after="0"/>
        <w:rPr>
          <w:lang w:val="en-US"/>
        </w:rPr>
      </w:pPr>
    </w:p>
    <w:p w14:paraId="4E20C947" w14:textId="134E7A24" w:rsidR="00EA64B3" w:rsidRPr="005D55FF" w:rsidRDefault="00EA64B3" w:rsidP="008A215D">
      <w:pPr>
        <w:jc w:val="both"/>
        <w:rPr>
          <w:b/>
          <w:lang w:val="en-US"/>
        </w:rPr>
      </w:pPr>
      <w:r w:rsidRPr="00EA64B3">
        <w:rPr>
          <w:b/>
          <w:lang w:val="en-US"/>
        </w:rPr>
        <w:t xml:space="preserve">Proposal </w:t>
      </w:r>
      <w:r w:rsidR="00CA6426">
        <w:rPr>
          <w:b/>
          <w:lang w:val="en-US"/>
        </w:rPr>
        <w:t>6</w:t>
      </w:r>
      <w:r w:rsidRPr="00EA64B3">
        <w:rPr>
          <w:b/>
          <w:lang w:val="en-US"/>
        </w:rPr>
        <w:t>: Cross-link interference management related to half-duplex operation with SDM/</w:t>
      </w:r>
      <w:r>
        <w:rPr>
          <w:b/>
          <w:lang w:val="en-US"/>
        </w:rPr>
        <w:t>FDM between access and backhaul</w:t>
      </w:r>
      <w:r w:rsidRPr="00EA64B3">
        <w:rPr>
          <w:b/>
          <w:lang w:val="en-US"/>
        </w:rPr>
        <w:t xml:space="preserve"> needs to be considered as part of NR studies.</w:t>
      </w:r>
    </w:p>
    <w:p w14:paraId="36523F90" w14:textId="44B0853A" w:rsidR="00F072C0" w:rsidRPr="00EC1F80" w:rsidRDefault="00F072C0" w:rsidP="008A215D">
      <w:pPr>
        <w:jc w:val="both"/>
        <w:rPr>
          <w:b/>
        </w:rPr>
      </w:pPr>
      <w:r>
        <w:rPr>
          <w:b/>
        </w:rPr>
        <w:t xml:space="preserve">Proposal </w:t>
      </w:r>
      <w:r w:rsidR="00CA6426">
        <w:rPr>
          <w:b/>
        </w:rPr>
        <w:t>7</w:t>
      </w:r>
      <w:r w:rsidRPr="00006E3A">
        <w:rPr>
          <w:b/>
        </w:rPr>
        <w:t xml:space="preserve">: </w:t>
      </w:r>
      <w:r w:rsidRPr="00F072C0">
        <w:rPr>
          <w:b/>
        </w:rPr>
        <w:t xml:space="preserve">Develop </w:t>
      </w:r>
      <w:r w:rsidR="00EA64B3" w:rsidRPr="00F072C0">
        <w:rPr>
          <w:b/>
        </w:rPr>
        <w:t>a</w:t>
      </w:r>
      <w:r w:rsidRPr="00F072C0">
        <w:rPr>
          <w:b/>
        </w:rPr>
        <w:t xml:space="preserve"> unified cross-link interference management framework under single WI, e.g. flexible duplexing or MIMO, covering all potential use-cases, e.g. dynamic TDD and IAB, etc.</w:t>
      </w:r>
    </w:p>
    <w:p w14:paraId="747D1206" w14:textId="70A32579" w:rsidR="00EC4DEE" w:rsidRDefault="006B27AC" w:rsidP="00EC4DEE">
      <w:pPr>
        <w:spacing w:after="0"/>
        <w:rPr>
          <w:rFonts w:eastAsia="MS Mincho"/>
          <w:lang w:eastAsia="ja-JP"/>
        </w:rPr>
      </w:pPr>
      <w:r w:rsidRPr="006B27AC">
        <w:rPr>
          <w:lang w:val="en-US"/>
        </w:rPr>
        <w:t xml:space="preserve"> </w:t>
      </w:r>
      <w:r>
        <w:rPr>
          <w:lang w:val="en-US"/>
        </w:rPr>
        <w:t xml:space="preserve"> </w:t>
      </w:r>
    </w:p>
    <w:p w14:paraId="7D2955B4" w14:textId="30F1CDC4" w:rsidR="00EC4DEE" w:rsidRDefault="00927BDE" w:rsidP="00EC4DEE">
      <w:pPr>
        <w:pStyle w:val="Heading2"/>
        <w:rPr>
          <w:lang w:val="en-US"/>
        </w:rPr>
      </w:pPr>
      <w:r>
        <w:rPr>
          <w:lang w:val="en-US"/>
        </w:rPr>
        <w:t>2.</w:t>
      </w:r>
      <w:r w:rsidR="006901CD">
        <w:rPr>
          <w:lang w:val="en-US"/>
        </w:rPr>
        <w:t>4</w:t>
      </w:r>
      <w:r w:rsidR="00F11C84">
        <w:rPr>
          <w:lang w:val="en-US"/>
        </w:rPr>
        <w:tab/>
        <w:t>IAB timing</w:t>
      </w:r>
    </w:p>
    <w:p w14:paraId="6C2D033C" w14:textId="13A0EEEC" w:rsidR="009F5AD9" w:rsidRDefault="00F11C84" w:rsidP="009F5AD9">
      <w:pPr>
        <w:spacing w:after="120"/>
        <w:jc w:val="both"/>
        <w:rPr>
          <w:rFonts w:eastAsia="MS Mincho"/>
          <w:lang w:eastAsia="ja-JP"/>
        </w:rPr>
      </w:pPr>
      <w:r>
        <w:rPr>
          <w:rFonts w:eastAsia="MS Mincho"/>
          <w:lang w:eastAsia="ja-JP"/>
        </w:rPr>
        <w:t xml:space="preserve">RAN1#92bis made following agreements on the </w:t>
      </w:r>
      <w:r w:rsidR="009F5AD9">
        <w:rPr>
          <w:rFonts w:eastAsia="MS Mincho"/>
          <w:lang w:eastAsia="ja-JP"/>
        </w:rPr>
        <w:t>IAB synchronization:</w:t>
      </w:r>
    </w:p>
    <w:p w14:paraId="44C82462" w14:textId="77777777" w:rsidR="009F5AD9" w:rsidRPr="00D52656" w:rsidRDefault="009F5AD9" w:rsidP="009F5AD9">
      <w:pPr>
        <w:pStyle w:val="ListParagraph"/>
        <w:numPr>
          <w:ilvl w:val="0"/>
          <w:numId w:val="43"/>
        </w:numPr>
        <w:overflowPunct w:val="0"/>
        <w:autoSpaceDE w:val="0"/>
        <w:autoSpaceDN w:val="0"/>
        <w:adjustRightInd w:val="0"/>
        <w:ind w:left="1004"/>
        <w:rPr>
          <w:i/>
          <w:sz w:val="20"/>
          <w:lang w:val="en-US"/>
        </w:rPr>
      </w:pPr>
      <w:r w:rsidRPr="00D52656">
        <w:rPr>
          <w:i/>
          <w:sz w:val="20"/>
          <w:lang w:val="en-US"/>
        </w:rPr>
        <w:t xml:space="preserve">Study the feasibility of over-the-air (OTA) synchronization and the impact of timing misalignment on IAB performance (e.g. the number of supportable hops). </w:t>
      </w:r>
    </w:p>
    <w:p w14:paraId="4D288ED4" w14:textId="77777777" w:rsidR="009F5AD9" w:rsidRPr="00D52656" w:rsidRDefault="009F5AD9" w:rsidP="009F5AD9">
      <w:pPr>
        <w:pStyle w:val="ListParagraph"/>
        <w:numPr>
          <w:ilvl w:val="0"/>
          <w:numId w:val="43"/>
        </w:numPr>
        <w:overflowPunct w:val="0"/>
        <w:autoSpaceDE w:val="0"/>
        <w:autoSpaceDN w:val="0"/>
        <w:adjustRightInd w:val="0"/>
        <w:spacing w:after="120"/>
        <w:ind w:left="1003" w:hanging="357"/>
        <w:rPr>
          <w:i/>
          <w:sz w:val="20"/>
          <w:lang w:val="en-US"/>
        </w:rPr>
      </w:pPr>
      <w:r w:rsidRPr="00D52656">
        <w:rPr>
          <w:i/>
          <w:sz w:val="20"/>
          <w:lang w:val="en-US"/>
        </w:rPr>
        <w:t>Mechanisms for timing alignment across multi-hop NR-IAB networks should be studied.</w:t>
      </w:r>
    </w:p>
    <w:p w14:paraId="05E9D3CC" w14:textId="16628088" w:rsidR="00F11C84" w:rsidRDefault="00581E73" w:rsidP="008A215D">
      <w:pPr>
        <w:spacing w:after="0"/>
        <w:jc w:val="both"/>
        <w:rPr>
          <w:rFonts w:eastAsia="MS Mincho"/>
          <w:lang w:eastAsia="ja-JP"/>
        </w:rPr>
      </w:pPr>
      <w:r>
        <w:rPr>
          <w:rFonts w:eastAsia="MS Mincho"/>
          <w:lang w:eastAsia="ja-JP"/>
        </w:rPr>
        <w:t xml:space="preserve">In </w:t>
      </w:r>
      <w:r w:rsidR="001E7C2A">
        <w:rPr>
          <w:rFonts w:eastAsia="MS Mincho"/>
          <w:lang w:eastAsia="ja-JP"/>
        </w:rPr>
        <w:fldChar w:fldCharType="begin"/>
      </w:r>
      <w:r w:rsidR="001E7C2A">
        <w:rPr>
          <w:rFonts w:eastAsia="MS Mincho"/>
          <w:lang w:eastAsia="ja-JP"/>
        </w:rPr>
        <w:instrText xml:space="preserve"> REF _Ref510618534 \r \h </w:instrText>
      </w:r>
      <w:r w:rsidR="008A215D">
        <w:rPr>
          <w:rFonts w:eastAsia="MS Mincho"/>
          <w:lang w:eastAsia="ja-JP"/>
        </w:rPr>
        <w:instrText xml:space="preserve"> \* MERGEFORMAT </w:instrText>
      </w:r>
      <w:r w:rsidR="001E7C2A">
        <w:rPr>
          <w:rFonts w:eastAsia="MS Mincho"/>
          <w:lang w:eastAsia="ja-JP"/>
        </w:rPr>
      </w:r>
      <w:r w:rsidR="001E7C2A">
        <w:rPr>
          <w:rFonts w:eastAsia="MS Mincho"/>
          <w:lang w:eastAsia="ja-JP"/>
        </w:rPr>
        <w:fldChar w:fldCharType="separate"/>
      </w:r>
      <w:r w:rsidR="001E7C2A">
        <w:rPr>
          <w:rFonts w:eastAsia="MS Mincho"/>
          <w:lang w:eastAsia="ja-JP"/>
        </w:rPr>
        <w:t>[6]</w:t>
      </w:r>
      <w:r w:rsidR="001E7C2A">
        <w:rPr>
          <w:rFonts w:eastAsia="MS Mincho"/>
          <w:lang w:eastAsia="ja-JP"/>
        </w:rPr>
        <w:fldChar w:fldCharType="end"/>
      </w:r>
      <w:r w:rsidR="00D82C91">
        <w:rPr>
          <w:rFonts w:eastAsia="MS Mincho"/>
          <w:lang w:eastAsia="ja-JP"/>
        </w:rPr>
        <w:t xml:space="preserve">, </w:t>
      </w:r>
      <w:r>
        <w:rPr>
          <w:rFonts w:eastAsia="MS Mincho"/>
          <w:lang w:eastAsia="ja-JP"/>
        </w:rPr>
        <w:t xml:space="preserve">we </w:t>
      </w:r>
      <w:r w:rsidR="009F5AD9">
        <w:rPr>
          <w:rFonts w:eastAsia="MS Mincho"/>
          <w:lang w:eastAsia="ja-JP"/>
        </w:rPr>
        <w:t xml:space="preserve">have </w:t>
      </w:r>
      <w:r>
        <w:rPr>
          <w:rFonts w:eastAsia="MS Mincho"/>
          <w:lang w:eastAsia="ja-JP"/>
        </w:rPr>
        <w:t xml:space="preserve">analysed the </w:t>
      </w:r>
      <w:r w:rsidR="003A3647">
        <w:rPr>
          <w:rFonts w:eastAsia="MS Mincho"/>
          <w:lang w:eastAsia="ja-JP"/>
        </w:rPr>
        <w:t>synchronization</w:t>
      </w:r>
      <w:r>
        <w:rPr>
          <w:rFonts w:eastAsia="MS Mincho"/>
          <w:lang w:eastAsia="ja-JP"/>
        </w:rPr>
        <w:t xml:space="preserve"> </w:t>
      </w:r>
      <w:r w:rsidR="009813C0">
        <w:rPr>
          <w:rFonts w:eastAsia="MS Mincho"/>
          <w:lang w:eastAsia="ja-JP"/>
        </w:rPr>
        <w:t xml:space="preserve">of </w:t>
      </w:r>
      <w:r>
        <w:rPr>
          <w:rFonts w:eastAsia="MS Mincho"/>
          <w:lang w:eastAsia="ja-JP"/>
        </w:rPr>
        <w:t>IAB nodes</w:t>
      </w:r>
      <w:r w:rsidR="004E7F68">
        <w:rPr>
          <w:rFonts w:eastAsia="MS Mincho"/>
          <w:lang w:eastAsia="ja-JP"/>
        </w:rPr>
        <w:t>.</w:t>
      </w:r>
      <w:r>
        <w:rPr>
          <w:rFonts w:eastAsia="MS Mincho"/>
          <w:lang w:eastAsia="ja-JP"/>
        </w:rPr>
        <w:t xml:space="preserve"> </w:t>
      </w:r>
      <w:r w:rsidR="009F5AD9">
        <w:rPr>
          <w:rFonts w:eastAsia="MS Mincho"/>
          <w:lang w:eastAsia="ja-JP"/>
        </w:rPr>
        <w:t xml:space="preserve">When utilizing </w:t>
      </w:r>
      <w:r w:rsidR="004E7F68">
        <w:rPr>
          <w:rFonts w:eastAsia="MS Mincho"/>
          <w:lang w:eastAsia="ja-JP"/>
        </w:rPr>
        <w:t xml:space="preserve">the </w:t>
      </w:r>
      <w:r w:rsidR="009F5AD9">
        <w:rPr>
          <w:rFonts w:eastAsia="MS Mincho"/>
          <w:lang w:eastAsia="ja-JP"/>
        </w:rPr>
        <w:t>existing NR procedures, the OTA synchronization consists of UE synchronization to DL s</w:t>
      </w:r>
      <w:r w:rsidR="004E7F68">
        <w:rPr>
          <w:rFonts w:eastAsia="MS Mincho"/>
          <w:lang w:eastAsia="ja-JP"/>
        </w:rPr>
        <w:t>ignals (SSBs) when</w:t>
      </w:r>
      <w:r w:rsidR="009F5AD9">
        <w:rPr>
          <w:rFonts w:eastAsia="MS Mincho"/>
          <w:lang w:eastAsia="ja-JP"/>
        </w:rPr>
        <w:t xml:space="preserve"> detecting </w:t>
      </w:r>
      <w:r w:rsidR="004E7F68">
        <w:rPr>
          <w:rFonts w:eastAsia="MS Mincho"/>
          <w:lang w:eastAsia="ja-JP"/>
        </w:rPr>
        <w:t xml:space="preserve">suitable </w:t>
      </w:r>
      <w:r w:rsidR="009F5AD9">
        <w:rPr>
          <w:rFonts w:eastAsia="MS Mincho"/>
          <w:lang w:eastAsia="ja-JP"/>
        </w:rPr>
        <w:t xml:space="preserve">cells for camping, and, once a </w:t>
      </w:r>
      <w:r w:rsidR="00B358E1">
        <w:rPr>
          <w:rFonts w:eastAsia="MS Mincho"/>
          <w:lang w:eastAsia="ja-JP"/>
        </w:rPr>
        <w:t xml:space="preserve">cell is </w:t>
      </w:r>
      <w:r w:rsidR="009F5AD9">
        <w:rPr>
          <w:rFonts w:eastAsia="MS Mincho"/>
          <w:lang w:eastAsia="ja-JP"/>
        </w:rPr>
        <w:t xml:space="preserve">selected, UE initiates access procedure by sending appropriate PRACH </w:t>
      </w:r>
      <w:r w:rsidR="00B358E1">
        <w:rPr>
          <w:rFonts w:eastAsia="MS Mincho"/>
          <w:lang w:eastAsia="ja-JP"/>
        </w:rPr>
        <w:t xml:space="preserve">preamble </w:t>
      </w:r>
      <w:r w:rsidR="009F5AD9">
        <w:rPr>
          <w:rFonts w:eastAsia="MS Mincho"/>
          <w:lang w:eastAsia="ja-JP"/>
        </w:rPr>
        <w:t>from which the gNB measures the timing advance (TA) adjustment to be used in the subsequent UL transmissions. The TA adjustment is sent in msg.2/RAR. With the same procedure, the UE part of the IAB node can synchronize its DL/UL timing towards the serving cell/node. To our understanding this shall be the taken as the starting point for the IAB synchronization.</w:t>
      </w:r>
    </w:p>
    <w:p w14:paraId="034EF482" w14:textId="76A0B4A9" w:rsidR="009F5AD9" w:rsidRDefault="009F5AD9" w:rsidP="008A215D">
      <w:pPr>
        <w:spacing w:after="0"/>
        <w:jc w:val="both"/>
        <w:rPr>
          <w:rFonts w:eastAsia="MS Mincho"/>
          <w:lang w:eastAsia="ja-JP"/>
        </w:rPr>
      </w:pPr>
    </w:p>
    <w:p w14:paraId="3AB2FA17" w14:textId="00EC71EA" w:rsidR="00E012B1" w:rsidRDefault="00E012B1" w:rsidP="00E012B1">
      <w:pPr>
        <w:spacing w:after="120"/>
        <w:rPr>
          <w:b/>
          <w:lang w:val="en-US"/>
        </w:rPr>
      </w:pPr>
      <w:r w:rsidRPr="00B52C39">
        <w:rPr>
          <w:b/>
          <w:lang w:val="en-US"/>
        </w:rPr>
        <w:t xml:space="preserve">Observation </w:t>
      </w:r>
      <w:r w:rsidR="00904F99">
        <w:rPr>
          <w:b/>
          <w:lang w:val="en-US"/>
        </w:rPr>
        <w:t>4</w:t>
      </w:r>
      <w:r w:rsidRPr="00B52C39">
        <w:rPr>
          <w:b/>
          <w:lang w:val="en-US"/>
        </w:rPr>
        <w:t xml:space="preserve">: </w:t>
      </w:r>
      <w:r>
        <w:rPr>
          <w:b/>
          <w:lang w:val="en-US"/>
        </w:rPr>
        <w:t xml:space="preserve">NR cell selection and initial access procedures with </w:t>
      </w:r>
      <w:r w:rsidRPr="00B52C39">
        <w:rPr>
          <w:b/>
          <w:lang w:val="en-US"/>
        </w:rPr>
        <w:t xml:space="preserve">TA based IAB timing </w:t>
      </w:r>
      <w:r>
        <w:rPr>
          <w:b/>
          <w:lang w:val="en-US"/>
        </w:rPr>
        <w:t>adjustment can be used as the baseline for IAB synchronization.</w:t>
      </w:r>
    </w:p>
    <w:p w14:paraId="11DC2FB7" w14:textId="58FAD541" w:rsidR="004E7F68" w:rsidRDefault="004E7F68" w:rsidP="008A215D">
      <w:pPr>
        <w:spacing w:after="0"/>
        <w:jc w:val="both"/>
        <w:rPr>
          <w:rFonts w:eastAsia="MS Mincho"/>
          <w:lang w:eastAsia="ja-JP"/>
        </w:rPr>
      </w:pPr>
      <w:r>
        <w:rPr>
          <w:rFonts w:eastAsia="MS Mincho"/>
          <w:lang w:eastAsia="ja-JP"/>
        </w:rPr>
        <w:t>DL TX timing of an IAB node on the access link and on the next hop BH link can be ad</w:t>
      </w:r>
      <w:r w:rsidR="00B358E1">
        <w:rPr>
          <w:rFonts w:eastAsia="MS Mincho"/>
          <w:lang w:eastAsia="ja-JP"/>
        </w:rPr>
        <w:t>vanced</w:t>
      </w:r>
      <w:r>
        <w:rPr>
          <w:rFonts w:eastAsia="MS Mincho"/>
          <w:lang w:eastAsia="ja-JP"/>
        </w:rPr>
        <w:t xml:space="preserve"> by ½*TA w.r.t. DL reception timing from the serving node to align the timing with the serving node. </w:t>
      </w:r>
      <w:r w:rsidR="00B358E1">
        <w:rPr>
          <w:rFonts w:eastAsia="MS Mincho"/>
          <w:lang w:eastAsia="ja-JP"/>
        </w:rPr>
        <w:t>T</w:t>
      </w:r>
      <w:r>
        <w:rPr>
          <w:rFonts w:eastAsia="MS Mincho"/>
          <w:lang w:eastAsia="ja-JP"/>
        </w:rPr>
        <w:t xml:space="preserve">his </w:t>
      </w:r>
      <w:r w:rsidR="00B358E1">
        <w:rPr>
          <w:rFonts w:eastAsia="MS Mincho"/>
          <w:lang w:eastAsia="ja-JP"/>
        </w:rPr>
        <w:t xml:space="preserve">way </w:t>
      </w:r>
      <w:r>
        <w:rPr>
          <w:rFonts w:eastAsia="MS Mincho"/>
          <w:lang w:eastAsia="ja-JP"/>
        </w:rPr>
        <w:t>DL</w:t>
      </w:r>
      <w:r w:rsidR="00B358E1">
        <w:rPr>
          <w:rFonts w:eastAsia="MS Mincho"/>
          <w:lang w:eastAsia="ja-JP"/>
        </w:rPr>
        <w:t>s</w:t>
      </w:r>
      <w:r>
        <w:rPr>
          <w:rFonts w:eastAsia="MS Mincho"/>
          <w:lang w:eastAsia="ja-JP"/>
        </w:rPr>
        <w:t xml:space="preserve"> in all cells can be </w:t>
      </w:r>
      <w:r w:rsidR="00B358E1">
        <w:rPr>
          <w:rFonts w:eastAsia="MS Mincho"/>
          <w:lang w:eastAsia="ja-JP"/>
        </w:rPr>
        <w:t>synchroniz</w:t>
      </w:r>
      <w:r>
        <w:rPr>
          <w:rFonts w:eastAsia="MS Mincho"/>
          <w:lang w:eastAsia="ja-JP"/>
        </w:rPr>
        <w:t>ed</w:t>
      </w:r>
      <w:r w:rsidR="00B358E1">
        <w:rPr>
          <w:rFonts w:eastAsia="MS Mincho"/>
          <w:lang w:eastAsia="ja-JP"/>
        </w:rPr>
        <w:t>,</w:t>
      </w:r>
      <w:r>
        <w:rPr>
          <w:rFonts w:eastAsia="MS Mincho"/>
          <w:lang w:eastAsia="ja-JP"/>
        </w:rPr>
        <w:t xml:space="preserve"> which is desirable in a TDD system. In a multi-hop IAB deployment the same principle can be used to synchronize the BH links based on the RX timing from the serving node and the TA value. According the current requirements for timing accuracy and TA granularity, the method seems to achieve the performance requirements also in a multi-hop scenario without IAB specific enhancements.</w:t>
      </w:r>
    </w:p>
    <w:p w14:paraId="210E590B" w14:textId="6C05D5A9" w:rsidR="009B6169" w:rsidRDefault="009B6169" w:rsidP="008A215D">
      <w:pPr>
        <w:spacing w:after="0"/>
        <w:jc w:val="both"/>
        <w:rPr>
          <w:rFonts w:eastAsia="MS Mincho"/>
          <w:lang w:eastAsia="ja-JP"/>
        </w:rPr>
      </w:pPr>
    </w:p>
    <w:p w14:paraId="36E2B5F2" w14:textId="29D3F42F" w:rsidR="009B6169" w:rsidRDefault="009B6169" w:rsidP="008A215D">
      <w:pPr>
        <w:spacing w:after="0"/>
        <w:jc w:val="both"/>
        <w:rPr>
          <w:rFonts w:eastAsia="MS Mincho"/>
          <w:lang w:eastAsia="ja-JP"/>
        </w:rPr>
      </w:pPr>
      <w:r>
        <w:rPr>
          <w:rFonts w:eastAsia="MS Mincho"/>
          <w:b/>
          <w:lang w:eastAsia="ja-JP"/>
        </w:rPr>
        <w:t xml:space="preserve">Proposal </w:t>
      </w:r>
      <w:r w:rsidR="00904F99">
        <w:rPr>
          <w:rFonts w:eastAsia="MS Mincho"/>
          <w:b/>
          <w:lang w:eastAsia="ja-JP"/>
        </w:rPr>
        <w:t>8</w:t>
      </w:r>
      <w:r w:rsidRPr="00552309">
        <w:rPr>
          <w:rFonts w:eastAsia="MS Mincho"/>
          <w:b/>
          <w:lang w:eastAsia="ja-JP"/>
        </w:rPr>
        <w:t>.</w:t>
      </w:r>
      <w:r>
        <w:rPr>
          <w:rFonts w:eastAsia="MS Mincho"/>
          <w:b/>
          <w:lang w:eastAsia="ja-JP"/>
        </w:rPr>
        <w:t xml:space="preserve"> TA based synchronization can be taken as basis for IAB synchronization</w:t>
      </w:r>
      <w:r w:rsidR="00377DED">
        <w:rPr>
          <w:rFonts w:eastAsia="MS Mincho"/>
          <w:b/>
          <w:lang w:eastAsia="ja-JP"/>
        </w:rPr>
        <w:t xml:space="preserve"> supporting also multi-hop scenarios</w:t>
      </w:r>
      <w:r>
        <w:rPr>
          <w:rFonts w:eastAsia="MS Mincho"/>
          <w:b/>
          <w:lang w:eastAsia="ja-JP"/>
        </w:rPr>
        <w:t>.</w:t>
      </w:r>
    </w:p>
    <w:p w14:paraId="358C77C1" w14:textId="0CC845EF" w:rsidR="00581E73" w:rsidRDefault="00581E73" w:rsidP="008A215D">
      <w:pPr>
        <w:spacing w:after="0"/>
        <w:jc w:val="both"/>
        <w:rPr>
          <w:rFonts w:eastAsia="MS Mincho"/>
          <w:lang w:eastAsia="ja-JP"/>
        </w:rPr>
      </w:pPr>
    </w:p>
    <w:p w14:paraId="18D14FFC" w14:textId="30F633EA" w:rsidR="006901CD" w:rsidRDefault="006901CD" w:rsidP="008A215D">
      <w:pPr>
        <w:spacing w:after="0"/>
        <w:jc w:val="both"/>
        <w:rPr>
          <w:rFonts w:eastAsia="MS Mincho"/>
          <w:b/>
          <w:lang w:eastAsia="ja-JP"/>
        </w:rPr>
      </w:pPr>
    </w:p>
    <w:p w14:paraId="07E36E16" w14:textId="3E08DD5E" w:rsidR="001923CE" w:rsidRDefault="001923CE" w:rsidP="001923CE">
      <w:pPr>
        <w:pStyle w:val="Heading2"/>
        <w:rPr>
          <w:lang w:val="en-US"/>
        </w:rPr>
      </w:pPr>
      <w:r>
        <w:rPr>
          <w:lang w:val="en-US"/>
        </w:rPr>
        <w:t>2.</w:t>
      </w:r>
      <w:r w:rsidR="0068573E">
        <w:rPr>
          <w:lang w:val="en-US"/>
        </w:rPr>
        <w:t>5</w:t>
      </w:r>
      <w:r>
        <w:rPr>
          <w:lang w:val="en-US"/>
        </w:rPr>
        <w:tab/>
        <w:t>Spectrum efficiency enhancements</w:t>
      </w:r>
    </w:p>
    <w:p w14:paraId="586E3632" w14:textId="7229A520" w:rsidR="005D6055" w:rsidRDefault="005D6055" w:rsidP="001923CE">
      <w:pPr>
        <w:spacing w:after="0"/>
        <w:jc w:val="both"/>
        <w:rPr>
          <w:rFonts w:eastAsia="MS Mincho"/>
          <w:lang w:eastAsia="ja-JP"/>
        </w:rPr>
      </w:pPr>
      <w:r>
        <w:rPr>
          <w:rFonts w:eastAsia="MS Mincho"/>
          <w:lang w:eastAsia="ja-JP"/>
        </w:rPr>
        <w:t xml:space="preserve">Backhaul connections carrying data for </w:t>
      </w:r>
      <w:r w:rsidR="00D10A21">
        <w:rPr>
          <w:rFonts w:eastAsia="MS Mincho"/>
          <w:lang w:eastAsia="ja-JP"/>
        </w:rPr>
        <w:t xml:space="preserve">multiple </w:t>
      </w:r>
      <w:r>
        <w:rPr>
          <w:rFonts w:eastAsia="MS Mincho"/>
          <w:lang w:eastAsia="ja-JP"/>
        </w:rPr>
        <w:t xml:space="preserve">UEs should basically have better spectrum efficiency (SE) than access links. There are some evident options how SE can be </w:t>
      </w:r>
      <w:r w:rsidR="00EC3C9D">
        <w:rPr>
          <w:rFonts w:eastAsia="MS Mincho"/>
          <w:lang w:eastAsia="ja-JP"/>
        </w:rPr>
        <w:t>improved</w:t>
      </w:r>
      <w:r>
        <w:rPr>
          <w:rFonts w:eastAsia="MS Mincho"/>
          <w:lang w:eastAsia="ja-JP"/>
        </w:rPr>
        <w:t>:</w:t>
      </w:r>
    </w:p>
    <w:p w14:paraId="2F400375" w14:textId="2780BCA4" w:rsidR="005D6055" w:rsidRPr="00B42D0B" w:rsidRDefault="005D6055" w:rsidP="00B42D0B">
      <w:pPr>
        <w:pStyle w:val="ListParagraph"/>
        <w:numPr>
          <w:ilvl w:val="0"/>
          <w:numId w:val="46"/>
        </w:numPr>
        <w:jc w:val="both"/>
        <w:rPr>
          <w:rFonts w:eastAsia="MS Mincho"/>
          <w:lang w:val="en-US" w:eastAsia="ja-JP"/>
        </w:rPr>
      </w:pPr>
      <w:r w:rsidRPr="00B42D0B">
        <w:rPr>
          <w:rFonts w:eastAsia="MS Mincho"/>
          <w:sz w:val="20"/>
          <w:lang w:val="en-US" w:eastAsia="ja-JP"/>
        </w:rPr>
        <w:t>Higher order modulation and coding scheme, MCS</w:t>
      </w:r>
    </w:p>
    <w:p w14:paraId="10D1B72C" w14:textId="240D9CE1" w:rsidR="005D6055" w:rsidRDefault="005D6055" w:rsidP="00B42D0B">
      <w:pPr>
        <w:pStyle w:val="ListParagraph"/>
        <w:numPr>
          <w:ilvl w:val="0"/>
          <w:numId w:val="46"/>
        </w:numPr>
        <w:jc w:val="both"/>
        <w:rPr>
          <w:rFonts w:eastAsia="MS Mincho"/>
          <w:lang w:val="en-US" w:eastAsia="ja-JP"/>
        </w:rPr>
      </w:pPr>
      <w:r>
        <w:rPr>
          <w:rFonts w:eastAsia="MS Mincho"/>
          <w:sz w:val="20"/>
          <w:lang w:val="en-US" w:eastAsia="ja-JP"/>
        </w:rPr>
        <w:t>MIMO</w:t>
      </w:r>
    </w:p>
    <w:p w14:paraId="39482D78" w14:textId="6534AB7C" w:rsidR="005D6055" w:rsidRPr="00E34D5D" w:rsidRDefault="005D6055" w:rsidP="00B42D0B">
      <w:pPr>
        <w:pStyle w:val="ListParagraph"/>
        <w:numPr>
          <w:ilvl w:val="0"/>
          <w:numId w:val="46"/>
        </w:numPr>
        <w:jc w:val="both"/>
        <w:rPr>
          <w:rFonts w:eastAsia="MS Mincho"/>
          <w:lang w:val="en-US" w:eastAsia="ja-JP"/>
        </w:rPr>
      </w:pPr>
      <w:r>
        <w:rPr>
          <w:rFonts w:eastAsia="MS Mincho"/>
          <w:sz w:val="20"/>
          <w:lang w:val="en-US" w:eastAsia="ja-JP"/>
        </w:rPr>
        <w:t>Higher antenna gain</w:t>
      </w:r>
    </w:p>
    <w:p w14:paraId="30A3AEA1" w14:textId="5366A605" w:rsidR="00E34D5D" w:rsidRDefault="00E34D5D" w:rsidP="00B42D0B">
      <w:pPr>
        <w:pStyle w:val="ListParagraph"/>
        <w:numPr>
          <w:ilvl w:val="0"/>
          <w:numId w:val="46"/>
        </w:numPr>
        <w:jc w:val="both"/>
        <w:rPr>
          <w:rFonts w:eastAsia="MS Mincho"/>
          <w:lang w:val="en-US" w:eastAsia="ja-JP"/>
        </w:rPr>
      </w:pPr>
      <w:r>
        <w:rPr>
          <w:rFonts w:eastAsia="MS Mincho"/>
          <w:sz w:val="20"/>
          <w:lang w:val="en-US" w:eastAsia="ja-JP"/>
        </w:rPr>
        <w:t>RS enhancements</w:t>
      </w:r>
    </w:p>
    <w:p w14:paraId="0D14F2DC" w14:textId="0BC74191" w:rsidR="005D6055" w:rsidRDefault="005D6055" w:rsidP="00B42D0B">
      <w:pPr>
        <w:jc w:val="both"/>
        <w:rPr>
          <w:rFonts w:eastAsia="MS Mincho"/>
          <w:lang w:val="en-US" w:eastAsia="ja-JP"/>
        </w:rPr>
      </w:pPr>
    </w:p>
    <w:p w14:paraId="762B18EF" w14:textId="6E314A9F" w:rsidR="005D6055" w:rsidRDefault="00E72AB0" w:rsidP="00B42D0B">
      <w:pPr>
        <w:jc w:val="both"/>
        <w:rPr>
          <w:rFonts w:eastAsia="MS Mincho"/>
          <w:lang w:val="en-US" w:eastAsia="ja-JP"/>
        </w:rPr>
      </w:pPr>
      <w:r>
        <w:rPr>
          <w:rFonts w:eastAsia="MS Mincho"/>
          <w:lang w:val="en-US" w:eastAsia="ja-JP"/>
        </w:rPr>
        <w:t>The improvements in these areas rely on IAB node specific capabilities which can be different from those of the access UEs</w:t>
      </w:r>
      <w:r w:rsidR="0035625E">
        <w:rPr>
          <w:rFonts w:eastAsia="MS Mincho"/>
          <w:lang w:val="en-US" w:eastAsia="ja-JP"/>
        </w:rPr>
        <w:t>.</w:t>
      </w:r>
      <w:r>
        <w:rPr>
          <w:rFonts w:eastAsia="MS Mincho"/>
          <w:lang w:val="en-US" w:eastAsia="ja-JP"/>
        </w:rPr>
        <w:t xml:space="preserve"> </w:t>
      </w:r>
      <w:r w:rsidR="0035625E">
        <w:rPr>
          <w:rFonts w:eastAsia="MS Mincho"/>
          <w:lang w:val="en-US" w:eastAsia="ja-JP"/>
        </w:rPr>
        <w:t>E</w:t>
      </w:r>
      <w:r>
        <w:rPr>
          <w:rFonts w:eastAsia="MS Mincho"/>
          <w:lang w:val="en-US" w:eastAsia="ja-JP"/>
        </w:rPr>
        <w:t>specially</w:t>
      </w:r>
      <w:r w:rsidR="0035625E">
        <w:rPr>
          <w:rFonts w:eastAsia="MS Mincho"/>
          <w:lang w:val="en-US" w:eastAsia="ja-JP"/>
        </w:rPr>
        <w:t>,</w:t>
      </w:r>
      <w:r>
        <w:rPr>
          <w:rFonts w:eastAsia="MS Mincho"/>
          <w:lang w:val="en-US" w:eastAsia="ja-JP"/>
        </w:rPr>
        <w:t xml:space="preserve"> </w:t>
      </w:r>
      <w:r w:rsidR="00EC3C9D">
        <w:rPr>
          <w:rFonts w:eastAsia="MS Mincho"/>
          <w:lang w:val="en-US" w:eastAsia="ja-JP"/>
        </w:rPr>
        <w:t>a</w:t>
      </w:r>
      <w:r>
        <w:rPr>
          <w:rFonts w:eastAsia="MS Mincho"/>
          <w:lang w:val="en-US" w:eastAsia="ja-JP"/>
        </w:rPr>
        <w:t xml:space="preserve"> higher number of antennas and/or antenna panels</w:t>
      </w:r>
      <w:r w:rsidR="00E34D5D">
        <w:rPr>
          <w:rFonts w:eastAsia="MS Mincho"/>
          <w:lang w:val="en-US" w:eastAsia="ja-JP"/>
        </w:rPr>
        <w:t>/Pas at both ends of the BH link,</w:t>
      </w:r>
      <w:r>
        <w:rPr>
          <w:rFonts w:eastAsia="MS Mincho"/>
          <w:lang w:val="en-US" w:eastAsia="ja-JP"/>
        </w:rPr>
        <w:t xml:space="preserve"> and better RF performance</w:t>
      </w:r>
      <w:r w:rsidR="0035625E">
        <w:rPr>
          <w:rFonts w:eastAsia="MS Mincho"/>
          <w:lang w:val="en-US" w:eastAsia="ja-JP"/>
        </w:rPr>
        <w:t xml:space="preserve"> are expected for IAB nodes</w:t>
      </w:r>
      <w:r>
        <w:rPr>
          <w:rFonts w:eastAsia="MS Mincho"/>
          <w:lang w:val="en-US" w:eastAsia="ja-JP"/>
        </w:rPr>
        <w:t>. Improved SNR over the connection would allow higher MCSs, like up to 1024QAM</w:t>
      </w:r>
      <w:r w:rsidR="0035625E">
        <w:rPr>
          <w:rFonts w:eastAsia="MS Mincho"/>
          <w:lang w:val="en-US" w:eastAsia="ja-JP"/>
        </w:rPr>
        <w:t>.</w:t>
      </w:r>
      <w:r>
        <w:rPr>
          <w:rFonts w:eastAsia="MS Mincho"/>
          <w:lang w:val="en-US" w:eastAsia="ja-JP"/>
        </w:rPr>
        <w:t xml:space="preserve"> This is facilitated by </w:t>
      </w:r>
      <w:r w:rsidR="0035625E">
        <w:rPr>
          <w:rFonts w:eastAsia="MS Mincho"/>
          <w:lang w:val="en-US" w:eastAsia="ja-JP"/>
        </w:rPr>
        <w:t>high</w:t>
      </w:r>
      <w:r>
        <w:rPr>
          <w:rFonts w:eastAsia="MS Mincho"/>
          <w:lang w:val="en-US" w:eastAsia="ja-JP"/>
        </w:rPr>
        <w:t xml:space="preserve"> antenna gains both at the transmitting and receiving ends</w:t>
      </w:r>
      <w:r w:rsidR="00E34D5D">
        <w:rPr>
          <w:rFonts w:eastAsia="MS Mincho"/>
          <w:lang w:val="en-US" w:eastAsia="ja-JP"/>
        </w:rPr>
        <w:t>, and static deployments of the IAB nodes</w:t>
      </w:r>
      <w:r>
        <w:rPr>
          <w:rFonts w:eastAsia="MS Mincho"/>
          <w:lang w:val="en-US" w:eastAsia="ja-JP"/>
        </w:rPr>
        <w:t xml:space="preserve">. Same gains are available for both DL and UL connections. However, </w:t>
      </w:r>
      <w:r w:rsidR="00697EBA">
        <w:rPr>
          <w:rFonts w:eastAsia="MS Mincho"/>
          <w:lang w:val="en-US" w:eastAsia="ja-JP"/>
        </w:rPr>
        <w:t xml:space="preserve">NR </w:t>
      </w:r>
      <w:r>
        <w:rPr>
          <w:rFonts w:eastAsia="MS Mincho"/>
          <w:lang w:val="en-US" w:eastAsia="ja-JP"/>
        </w:rPr>
        <w:t xml:space="preserve">features </w:t>
      </w:r>
      <w:r w:rsidR="00697EBA">
        <w:rPr>
          <w:rFonts w:eastAsia="MS Mincho"/>
          <w:lang w:val="en-US" w:eastAsia="ja-JP"/>
        </w:rPr>
        <w:t xml:space="preserve">specified </w:t>
      </w:r>
      <w:r w:rsidR="0035625E">
        <w:rPr>
          <w:rFonts w:eastAsia="MS Mincho"/>
          <w:lang w:val="en-US" w:eastAsia="ja-JP"/>
        </w:rPr>
        <w:t xml:space="preserve">for </w:t>
      </w:r>
      <w:r>
        <w:rPr>
          <w:rFonts w:eastAsia="MS Mincho"/>
          <w:lang w:val="en-US" w:eastAsia="ja-JP"/>
        </w:rPr>
        <w:t xml:space="preserve">SE </w:t>
      </w:r>
      <w:r w:rsidR="00697EBA">
        <w:rPr>
          <w:rFonts w:eastAsia="MS Mincho"/>
          <w:lang w:val="en-US" w:eastAsia="ja-JP"/>
        </w:rPr>
        <w:t>improvements do not have to be IAB specific but those specified for normal access links can be applied to IAB BH connections as well. Therefore, the IAB study do</w:t>
      </w:r>
      <w:r w:rsidR="00D932AE">
        <w:rPr>
          <w:rFonts w:eastAsia="MS Mincho"/>
          <w:lang w:val="en-US" w:eastAsia="ja-JP"/>
        </w:rPr>
        <w:t>es</w:t>
      </w:r>
      <w:r w:rsidR="00697EBA">
        <w:rPr>
          <w:rFonts w:eastAsia="MS Mincho"/>
          <w:lang w:val="en-US" w:eastAsia="ja-JP"/>
        </w:rPr>
        <w:t xml:space="preserve"> not have to include such topics defined specifically for IAB usage.</w:t>
      </w:r>
    </w:p>
    <w:p w14:paraId="26153EEB" w14:textId="14B08C4A" w:rsidR="00697EBA" w:rsidRPr="00B42D0B" w:rsidRDefault="00904F99" w:rsidP="00B42D0B">
      <w:pPr>
        <w:jc w:val="both"/>
        <w:rPr>
          <w:rFonts w:eastAsia="MS Mincho"/>
          <w:b/>
          <w:lang w:val="en-US" w:eastAsia="ja-JP"/>
        </w:rPr>
      </w:pPr>
      <w:r w:rsidRPr="00904F99">
        <w:rPr>
          <w:rFonts w:eastAsia="MS Mincho"/>
          <w:b/>
          <w:lang w:val="en-US" w:eastAsia="ja-JP"/>
        </w:rPr>
        <w:lastRenderedPageBreak/>
        <w:t>Proposal 9</w:t>
      </w:r>
      <w:r w:rsidR="00697EBA" w:rsidRPr="00B42D0B">
        <w:rPr>
          <w:rFonts w:eastAsia="MS Mincho"/>
          <w:b/>
          <w:lang w:val="en-US" w:eastAsia="ja-JP"/>
        </w:rPr>
        <w:t>. Spectrum efficiency improvements can be considered generic NR features and do not have to be studied separately for IAB cases.</w:t>
      </w:r>
    </w:p>
    <w:p w14:paraId="7BEEA9FF" w14:textId="77777777" w:rsidR="001923CE" w:rsidRPr="006901CD" w:rsidRDefault="001923CE" w:rsidP="001923CE">
      <w:pPr>
        <w:spacing w:after="0"/>
        <w:jc w:val="both"/>
        <w:rPr>
          <w:rFonts w:eastAsia="MS Mincho"/>
          <w:lang w:eastAsia="ja-JP"/>
        </w:rPr>
      </w:pPr>
    </w:p>
    <w:p w14:paraId="31E0CFE4" w14:textId="77777777" w:rsidR="006901CD" w:rsidRPr="006901CD" w:rsidRDefault="006901CD" w:rsidP="006901CD">
      <w:pPr>
        <w:spacing w:after="0"/>
        <w:jc w:val="both"/>
        <w:rPr>
          <w:rFonts w:eastAsia="MS Mincho"/>
          <w:lang w:eastAsia="ja-JP"/>
        </w:rPr>
      </w:pP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D43B03D" w14:textId="541FD22D" w:rsidR="00377DED" w:rsidRDefault="00CA6426" w:rsidP="008A215D">
      <w:pPr>
        <w:spacing w:after="120"/>
        <w:jc w:val="both"/>
        <w:rPr>
          <w:bCs/>
        </w:rPr>
      </w:pPr>
      <w:r>
        <w:rPr>
          <w:bCs/>
        </w:rPr>
        <w:t>In this contribution we have discussed areas that need specific attention on lower layer studies of the IAB SI. Detailed elaboration of each subject can be found in the referred TDocs. Main observations and proposals we have are:</w:t>
      </w:r>
    </w:p>
    <w:p w14:paraId="757F4DC2" w14:textId="77777777" w:rsidR="00904F99" w:rsidRPr="005D55FF" w:rsidRDefault="00904F99" w:rsidP="00904F99">
      <w:pPr>
        <w:jc w:val="both"/>
        <w:rPr>
          <w:b/>
          <w:lang w:val="en-US"/>
        </w:rPr>
      </w:pPr>
      <w:r w:rsidRPr="005D55FF">
        <w:rPr>
          <w:b/>
          <w:lang w:val="en-US"/>
        </w:rPr>
        <w:t xml:space="preserve">Observation 1: </w:t>
      </w:r>
      <w:r>
        <w:rPr>
          <w:b/>
          <w:lang w:val="en-US"/>
        </w:rPr>
        <w:t>Resource allocation schemes developed for different access link scenarios can be reused for BH link.</w:t>
      </w:r>
    </w:p>
    <w:p w14:paraId="0F1B594F" w14:textId="77777777" w:rsidR="00904F99" w:rsidRDefault="00904F99" w:rsidP="00904F99">
      <w:pPr>
        <w:rPr>
          <w:b/>
          <w:lang w:val="en-US"/>
        </w:rPr>
      </w:pPr>
      <w:r>
        <w:rPr>
          <w:b/>
          <w:lang w:val="en-US"/>
        </w:rPr>
        <w:t>Observation 2: Detected cells and related measurement results obtained during the cell search/selection phase can be utilized as the basis for the cell monitoring during the active IAB operation.</w:t>
      </w:r>
    </w:p>
    <w:p w14:paraId="609A69F5" w14:textId="77777777" w:rsidR="00904F99" w:rsidRPr="00EC1F80" w:rsidRDefault="00904F99" w:rsidP="00904F99">
      <w:pPr>
        <w:jc w:val="both"/>
        <w:rPr>
          <w:b/>
        </w:rPr>
      </w:pPr>
      <w:r>
        <w:rPr>
          <w:b/>
        </w:rPr>
        <w:t>Observation 3</w:t>
      </w:r>
      <w:r w:rsidRPr="00006E3A">
        <w:rPr>
          <w:b/>
        </w:rPr>
        <w:t xml:space="preserve">: </w:t>
      </w:r>
      <w:r w:rsidRPr="00EA64B3">
        <w:rPr>
          <w:b/>
        </w:rPr>
        <w:t xml:space="preserve">GC-PDCCH </w:t>
      </w:r>
      <w:r>
        <w:rPr>
          <w:b/>
        </w:rPr>
        <w:t xml:space="preserve">can enable </w:t>
      </w:r>
      <w:r w:rsidRPr="00EA64B3">
        <w:rPr>
          <w:b/>
        </w:rPr>
        <w:t xml:space="preserve">interference coordination between DgNB cell and RN cell(s) </w:t>
      </w:r>
      <w:r>
        <w:rPr>
          <w:b/>
        </w:rPr>
        <w:t xml:space="preserve">with dynamic split between Access/BH </w:t>
      </w:r>
      <w:r w:rsidRPr="00EA64B3">
        <w:rPr>
          <w:b/>
        </w:rPr>
        <w:t>in such that the network can be operated free from cross-link interference</w:t>
      </w:r>
    </w:p>
    <w:p w14:paraId="07919EB0" w14:textId="77777777" w:rsidR="00904F99" w:rsidRDefault="00904F99" w:rsidP="00904F99">
      <w:pPr>
        <w:spacing w:after="120"/>
        <w:rPr>
          <w:b/>
          <w:lang w:val="en-US"/>
        </w:rPr>
      </w:pPr>
      <w:r w:rsidRPr="00B52C39">
        <w:rPr>
          <w:b/>
          <w:lang w:val="en-US"/>
        </w:rPr>
        <w:t xml:space="preserve">Observation </w:t>
      </w:r>
      <w:r>
        <w:rPr>
          <w:b/>
          <w:lang w:val="en-US"/>
        </w:rPr>
        <w:t>4</w:t>
      </w:r>
      <w:r w:rsidRPr="00B52C39">
        <w:rPr>
          <w:b/>
          <w:lang w:val="en-US"/>
        </w:rPr>
        <w:t xml:space="preserve">: </w:t>
      </w:r>
      <w:r>
        <w:rPr>
          <w:b/>
          <w:lang w:val="en-US"/>
        </w:rPr>
        <w:t xml:space="preserve">NR cell selection and initial access procedures with </w:t>
      </w:r>
      <w:r w:rsidRPr="00B52C39">
        <w:rPr>
          <w:b/>
          <w:lang w:val="en-US"/>
        </w:rPr>
        <w:t xml:space="preserve">TA based IAB timing </w:t>
      </w:r>
      <w:r>
        <w:rPr>
          <w:b/>
          <w:lang w:val="en-US"/>
        </w:rPr>
        <w:t>adjustment can be used as the baseline for IAB synchronization.</w:t>
      </w:r>
    </w:p>
    <w:p w14:paraId="5431055A" w14:textId="77777777" w:rsidR="008A215D" w:rsidRPr="00B42D0B" w:rsidRDefault="008A215D" w:rsidP="008A215D">
      <w:pPr>
        <w:jc w:val="both"/>
        <w:rPr>
          <w:b/>
          <w:lang w:val="en-US"/>
        </w:rPr>
      </w:pPr>
    </w:p>
    <w:p w14:paraId="6236E489" w14:textId="77777777" w:rsidR="00904F99" w:rsidRPr="005D55FF" w:rsidRDefault="00904F99" w:rsidP="00904F99">
      <w:pPr>
        <w:pStyle w:val="ListParagraph"/>
        <w:ind w:left="0"/>
        <w:rPr>
          <w:b/>
          <w:sz w:val="20"/>
          <w:szCs w:val="20"/>
          <w:lang w:val="en-US"/>
        </w:rPr>
      </w:pPr>
      <w:r w:rsidRPr="005D55FF">
        <w:rPr>
          <w:b/>
          <w:sz w:val="20"/>
          <w:szCs w:val="20"/>
          <w:lang w:val="en-US"/>
        </w:rPr>
        <w:t xml:space="preserve">Proposal </w:t>
      </w:r>
      <w:r>
        <w:rPr>
          <w:b/>
          <w:sz w:val="20"/>
          <w:szCs w:val="20"/>
          <w:lang w:val="en-US"/>
        </w:rPr>
        <w:t>1</w:t>
      </w:r>
      <w:r w:rsidRPr="005D55FF">
        <w:rPr>
          <w:b/>
          <w:sz w:val="20"/>
          <w:szCs w:val="20"/>
          <w:lang w:val="en-US"/>
        </w:rPr>
        <w:t xml:space="preserve">: </w:t>
      </w:r>
      <w:r>
        <w:rPr>
          <w:b/>
          <w:sz w:val="20"/>
          <w:szCs w:val="20"/>
          <w:lang w:val="en-US"/>
        </w:rPr>
        <w:t>Support half-duplex IAB scenarios with both TDM and SDM/FDM between Access and BH links.</w:t>
      </w:r>
    </w:p>
    <w:p w14:paraId="6EEA57EC" w14:textId="77777777" w:rsidR="00904F99" w:rsidRPr="00C2509B" w:rsidRDefault="00904F99" w:rsidP="00904F99">
      <w:pPr>
        <w:pStyle w:val="ListParagraph"/>
        <w:ind w:left="0"/>
        <w:rPr>
          <w:i/>
          <w:sz w:val="20"/>
          <w:szCs w:val="20"/>
          <w:lang w:val="en-US"/>
        </w:rPr>
      </w:pPr>
    </w:p>
    <w:p w14:paraId="6F6BEBBA" w14:textId="77777777" w:rsidR="00904F99" w:rsidRPr="005D55FF" w:rsidRDefault="00904F99" w:rsidP="00904F99">
      <w:pPr>
        <w:pStyle w:val="ListParagraph"/>
        <w:ind w:left="0"/>
        <w:jc w:val="both"/>
        <w:rPr>
          <w:b/>
          <w:sz w:val="20"/>
          <w:szCs w:val="20"/>
          <w:lang w:val="en-US"/>
        </w:rPr>
      </w:pPr>
      <w:r w:rsidRPr="005D55FF">
        <w:rPr>
          <w:b/>
          <w:sz w:val="20"/>
          <w:szCs w:val="20"/>
          <w:lang w:val="en-US"/>
        </w:rPr>
        <w:t xml:space="preserve">Proposal </w:t>
      </w:r>
      <w:r>
        <w:rPr>
          <w:b/>
          <w:sz w:val="20"/>
          <w:szCs w:val="20"/>
          <w:lang w:val="en-US"/>
        </w:rPr>
        <w:t>2</w:t>
      </w:r>
      <w:r w:rsidRPr="005D55FF">
        <w:rPr>
          <w:b/>
          <w:sz w:val="20"/>
          <w:szCs w:val="20"/>
          <w:lang w:val="en-US"/>
        </w:rPr>
        <w:t>: GC-PDCCH enhancements are needed to facilitate dynamic resource allocation between the backhaul and access links</w:t>
      </w:r>
      <w:r>
        <w:rPr>
          <w:b/>
          <w:sz w:val="20"/>
          <w:szCs w:val="20"/>
          <w:lang w:val="en-US"/>
        </w:rPr>
        <w:t xml:space="preserve"> as well as related interference coordination.</w:t>
      </w:r>
    </w:p>
    <w:p w14:paraId="1A3F3FAD" w14:textId="77777777" w:rsidR="00904F99" w:rsidRDefault="00904F99" w:rsidP="00904F99">
      <w:pPr>
        <w:pStyle w:val="ListParagraph"/>
        <w:ind w:left="0"/>
        <w:jc w:val="both"/>
        <w:rPr>
          <w:i/>
          <w:sz w:val="20"/>
          <w:szCs w:val="20"/>
          <w:lang w:val="en-US"/>
        </w:rPr>
      </w:pPr>
    </w:p>
    <w:p w14:paraId="5D8051CA" w14:textId="77777777" w:rsidR="00904F99" w:rsidRPr="005D55FF" w:rsidRDefault="00904F99" w:rsidP="00B42D0B">
      <w:pPr>
        <w:pStyle w:val="ListParagraph"/>
        <w:spacing w:after="180"/>
        <w:ind w:left="0"/>
        <w:jc w:val="both"/>
        <w:rPr>
          <w:b/>
          <w:sz w:val="20"/>
          <w:szCs w:val="20"/>
          <w:lang w:val="en-US"/>
        </w:rPr>
      </w:pPr>
      <w:r w:rsidRPr="005D55FF">
        <w:rPr>
          <w:b/>
          <w:sz w:val="20"/>
          <w:szCs w:val="20"/>
          <w:lang w:val="en-US"/>
        </w:rPr>
        <w:t xml:space="preserve">Proposal </w:t>
      </w:r>
      <w:r>
        <w:rPr>
          <w:b/>
          <w:sz w:val="20"/>
          <w:szCs w:val="20"/>
          <w:lang w:val="en-US"/>
        </w:rPr>
        <w:t>3</w:t>
      </w:r>
      <w:r w:rsidRPr="005D55FF">
        <w:rPr>
          <w:b/>
          <w:sz w:val="20"/>
          <w:szCs w:val="20"/>
          <w:lang w:val="en-US"/>
        </w:rPr>
        <w:t>: RN processing time capabilities need to be discussed as part of the IAB studies.</w:t>
      </w:r>
    </w:p>
    <w:p w14:paraId="62176854" w14:textId="77777777" w:rsidR="00904F99" w:rsidRPr="006C6E86" w:rsidRDefault="00904F99" w:rsidP="00904F99">
      <w:pPr>
        <w:rPr>
          <w:b/>
        </w:rPr>
      </w:pPr>
      <w:r w:rsidRPr="00BF3FF0">
        <w:rPr>
          <w:b/>
        </w:rPr>
        <w:t xml:space="preserve">Proposal 4: </w:t>
      </w:r>
      <w:r>
        <w:rPr>
          <w:b/>
        </w:rPr>
        <w:t>To enable inter-IAB node monitoring there shall be means to configure measurement opportunities for some IAB nodes matching with the reference signal transmissions of the monitored IAB nodes.</w:t>
      </w:r>
    </w:p>
    <w:p w14:paraId="1E7CC898" w14:textId="77777777" w:rsidR="00904F99" w:rsidRPr="00721E0F" w:rsidRDefault="00904F99" w:rsidP="00904F99">
      <w:pPr>
        <w:rPr>
          <w:b/>
        </w:rPr>
      </w:pPr>
      <w:r w:rsidRPr="00721E0F">
        <w:rPr>
          <w:b/>
        </w:rPr>
        <w:t>Proposal</w:t>
      </w:r>
      <w:r>
        <w:rPr>
          <w:b/>
        </w:rPr>
        <w:t xml:space="preserve"> 5</w:t>
      </w:r>
      <w:r w:rsidRPr="00721E0F">
        <w:rPr>
          <w:b/>
        </w:rPr>
        <w:t>:</w:t>
      </w:r>
      <w:r>
        <w:rPr>
          <w:b/>
        </w:rPr>
        <w:t xml:space="preserve"> RAN1 is asked to consider CSI-RS measurements as a suitable option for IAB monitoring.</w:t>
      </w:r>
    </w:p>
    <w:p w14:paraId="49C38282" w14:textId="77777777" w:rsidR="00904F99" w:rsidRPr="005D55FF" w:rsidRDefault="00904F99" w:rsidP="00904F99">
      <w:pPr>
        <w:jc w:val="both"/>
        <w:rPr>
          <w:b/>
          <w:lang w:val="en-US"/>
        </w:rPr>
      </w:pPr>
      <w:r w:rsidRPr="00EA64B3">
        <w:rPr>
          <w:b/>
          <w:lang w:val="en-US"/>
        </w:rPr>
        <w:t xml:space="preserve">Proposal </w:t>
      </w:r>
      <w:r>
        <w:rPr>
          <w:b/>
          <w:lang w:val="en-US"/>
        </w:rPr>
        <w:t>6</w:t>
      </w:r>
      <w:r w:rsidRPr="00EA64B3">
        <w:rPr>
          <w:b/>
          <w:lang w:val="en-US"/>
        </w:rPr>
        <w:t>: Cross-link interference management related to half-duplex operation with SDM/</w:t>
      </w:r>
      <w:r>
        <w:rPr>
          <w:b/>
          <w:lang w:val="en-US"/>
        </w:rPr>
        <w:t>FDM between access and backhaul</w:t>
      </w:r>
      <w:r w:rsidRPr="00EA64B3">
        <w:rPr>
          <w:b/>
          <w:lang w:val="en-US"/>
        </w:rPr>
        <w:t xml:space="preserve"> needs to be considered as part of NR studies.</w:t>
      </w:r>
    </w:p>
    <w:p w14:paraId="6C72932F" w14:textId="77777777" w:rsidR="00904F99" w:rsidRPr="00EC1F80" w:rsidRDefault="00904F99" w:rsidP="00904F99">
      <w:pPr>
        <w:jc w:val="both"/>
        <w:rPr>
          <w:b/>
        </w:rPr>
      </w:pPr>
      <w:r>
        <w:rPr>
          <w:b/>
        </w:rPr>
        <w:t>Proposal 7</w:t>
      </w:r>
      <w:r w:rsidRPr="00006E3A">
        <w:rPr>
          <w:b/>
        </w:rPr>
        <w:t xml:space="preserve">: </w:t>
      </w:r>
      <w:r w:rsidRPr="00F072C0">
        <w:rPr>
          <w:b/>
        </w:rPr>
        <w:t>Develop a unified cross-link interference management framework under single WI, e.g. flexible duplexing or MIMO, covering all potential use-cases, e.g. dynamic TDD and IAB, etc.</w:t>
      </w:r>
    </w:p>
    <w:p w14:paraId="2B17980B" w14:textId="77777777" w:rsidR="00904F99" w:rsidRDefault="00904F99" w:rsidP="00B42D0B">
      <w:pPr>
        <w:jc w:val="both"/>
        <w:rPr>
          <w:rFonts w:eastAsia="MS Mincho"/>
          <w:lang w:eastAsia="ja-JP"/>
        </w:rPr>
      </w:pPr>
      <w:r>
        <w:rPr>
          <w:rFonts w:eastAsia="MS Mincho"/>
          <w:b/>
          <w:lang w:eastAsia="ja-JP"/>
        </w:rPr>
        <w:t>Proposal 8</w:t>
      </w:r>
      <w:r w:rsidRPr="00552309">
        <w:rPr>
          <w:rFonts w:eastAsia="MS Mincho"/>
          <w:b/>
          <w:lang w:eastAsia="ja-JP"/>
        </w:rPr>
        <w:t>.</w:t>
      </w:r>
      <w:r>
        <w:rPr>
          <w:rFonts w:eastAsia="MS Mincho"/>
          <w:b/>
          <w:lang w:eastAsia="ja-JP"/>
        </w:rPr>
        <w:t xml:space="preserve"> TA based synchronization can be taken as basis for IAB synchronization supporting also multi-hop scenarios.</w:t>
      </w:r>
    </w:p>
    <w:p w14:paraId="3CA810D6" w14:textId="6A524FF6" w:rsidR="00904F99" w:rsidRPr="00E84301" w:rsidRDefault="00904F99" w:rsidP="00904F99">
      <w:pPr>
        <w:jc w:val="both"/>
        <w:rPr>
          <w:rFonts w:eastAsia="MS Mincho"/>
          <w:b/>
          <w:lang w:val="en-US" w:eastAsia="ja-JP"/>
        </w:rPr>
      </w:pPr>
      <w:r w:rsidRPr="00904F99">
        <w:rPr>
          <w:rFonts w:eastAsia="MS Mincho"/>
          <w:b/>
          <w:lang w:val="en-US" w:eastAsia="ja-JP"/>
        </w:rPr>
        <w:t>Proposal 9</w:t>
      </w:r>
      <w:r w:rsidRPr="00E84301">
        <w:rPr>
          <w:rFonts w:eastAsia="MS Mincho"/>
          <w:b/>
          <w:lang w:val="en-US" w:eastAsia="ja-JP"/>
        </w:rPr>
        <w:t>. Spectrum efficiency improvements can be considered generic NR features and do not have to be studied separately for IAB cases.</w:t>
      </w:r>
    </w:p>
    <w:p w14:paraId="22F2C0BD" w14:textId="77777777" w:rsidR="00EA3DCA" w:rsidRPr="00B42D0B" w:rsidRDefault="00EA3DCA" w:rsidP="00A2190A">
      <w:pPr>
        <w:spacing w:after="120"/>
        <w:jc w:val="both"/>
        <w:rPr>
          <w:bCs/>
          <w:lang w:val="en-US"/>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617F51A2" w:rsidR="00055676" w:rsidRDefault="00714BA2" w:rsidP="00AC276B">
      <w:pPr>
        <w:numPr>
          <w:ilvl w:val="0"/>
          <w:numId w:val="1"/>
        </w:numPr>
        <w:rPr>
          <w:sz w:val="18"/>
        </w:rPr>
      </w:pPr>
      <w:bookmarkStart w:id="1" w:name="_Ref510617175"/>
      <w:r w:rsidRPr="008A215D">
        <w:rPr>
          <w:sz w:val="18"/>
          <w:lang w:eastAsia="zh-CN"/>
        </w:rPr>
        <w:t>RP-172290</w:t>
      </w:r>
      <w:r w:rsidR="00055676" w:rsidRPr="00013455">
        <w:rPr>
          <w:sz w:val="18"/>
          <w:lang w:eastAsia="zh-CN"/>
        </w:rPr>
        <w:t xml:space="preserve">, </w:t>
      </w:r>
      <w:r w:rsidR="00D060FF" w:rsidRPr="00013455">
        <w:rPr>
          <w:sz w:val="18"/>
          <w:lang w:eastAsia="zh-CN"/>
        </w:rPr>
        <w:t>“</w:t>
      </w:r>
      <w:r w:rsidR="00AC276B" w:rsidRPr="00AC276B">
        <w:rPr>
          <w:i/>
          <w:sz w:val="18"/>
          <w:lang w:eastAsia="zh-CN"/>
        </w:rPr>
        <w:t>Study on Integrated Access and Backhaul for NR</w:t>
      </w:r>
      <w:r w:rsidR="00D060FF" w:rsidRPr="00013455">
        <w:rPr>
          <w:sz w:val="18"/>
          <w:lang w:eastAsia="zh-CN"/>
        </w:rPr>
        <w:t>”</w:t>
      </w:r>
      <w:r w:rsidR="00055676" w:rsidRPr="00013455">
        <w:rPr>
          <w:sz w:val="18"/>
          <w:lang w:eastAsia="zh-CN"/>
        </w:rPr>
        <w:t xml:space="preserve">, </w:t>
      </w:r>
      <w:r w:rsidR="00AC276B">
        <w:rPr>
          <w:sz w:val="18"/>
          <w:lang w:eastAsia="zh-CN"/>
        </w:rPr>
        <w:t>AT&amp;T, Qualcomm, Samsung</w:t>
      </w:r>
      <w:bookmarkEnd w:id="1"/>
    </w:p>
    <w:p w14:paraId="7CA05E52" w14:textId="769D4B9C" w:rsidR="00D52656" w:rsidRDefault="00D52656" w:rsidP="00DB7641">
      <w:pPr>
        <w:numPr>
          <w:ilvl w:val="0"/>
          <w:numId w:val="1"/>
        </w:numPr>
        <w:rPr>
          <w:sz w:val="18"/>
        </w:rPr>
      </w:pPr>
      <w:bookmarkStart w:id="2" w:name="_Ref513450431"/>
      <w:r>
        <w:rPr>
          <w:sz w:val="18"/>
        </w:rPr>
        <w:t>Draft Report of 3GPP TSG RAN WG1 #92bis v0.1.0</w:t>
      </w:r>
      <w:bookmarkEnd w:id="2"/>
    </w:p>
    <w:p w14:paraId="112ADB94" w14:textId="29BE15A8" w:rsidR="00EC4DEE" w:rsidRDefault="006901CD" w:rsidP="00DB7641">
      <w:pPr>
        <w:numPr>
          <w:ilvl w:val="0"/>
          <w:numId w:val="1"/>
        </w:numPr>
        <w:rPr>
          <w:sz w:val="18"/>
        </w:rPr>
      </w:pPr>
      <w:r>
        <w:rPr>
          <w:sz w:val="18"/>
          <w:lang w:eastAsia="zh-CN"/>
        </w:rPr>
        <w:t>R1-18</w:t>
      </w:r>
      <w:r w:rsidR="0068573E">
        <w:rPr>
          <w:sz w:val="18"/>
          <w:lang w:eastAsia="zh-CN"/>
        </w:rPr>
        <w:t>06663</w:t>
      </w:r>
      <w:r w:rsidR="00714BA2">
        <w:rPr>
          <w:sz w:val="18"/>
          <w:lang w:eastAsia="zh-CN"/>
        </w:rPr>
        <w:t>, “</w:t>
      </w:r>
      <w:r w:rsidR="008F1002">
        <w:rPr>
          <w:bCs/>
          <w:i/>
          <w:sz w:val="18"/>
          <w:lang w:val="en-US" w:eastAsia="zh-CN"/>
        </w:rPr>
        <w:t>Measurements</w:t>
      </w:r>
      <w:r w:rsidR="00AD0FC2">
        <w:rPr>
          <w:bCs/>
          <w:i/>
          <w:sz w:val="18"/>
          <w:lang w:val="en-US" w:eastAsia="zh-CN"/>
        </w:rPr>
        <w:t xml:space="preserve"> for</w:t>
      </w:r>
      <w:r w:rsidR="00361DD1" w:rsidRPr="00DB7641">
        <w:rPr>
          <w:bCs/>
          <w:i/>
          <w:sz w:val="18"/>
          <w:lang w:val="en-US" w:eastAsia="zh-CN"/>
        </w:rPr>
        <w:t xml:space="preserve"> IAB</w:t>
      </w:r>
      <w:r w:rsidR="00714BA2">
        <w:rPr>
          <w:sz w:val="18"/>
          <w:lang w:eastAsia="zh-CN"/>
        </w:rPr>
        <w:t>”, Nokia, Nokia Shanghai Bell</w:t>
      </w:r>
    </w:p>
    <w:p w14:paraId="18F3BD57" w14:textId="7C519FC6" w:rsidR="00927BDE" w:rsidRDefault="00DB7641" w:rsidP="00DB7641">
      <w:pPr>
        <w:numPr>
          <w:ilvl w:val="0"/>
          <w:numId w:val="1"/>
        </w:numPr>
        <w:rPr>
          <w:sz w:val="18"/>
        </w:rPr>
      </w:pPr>
      <w:bookmarkStart w:id="3" w:name="_Ref510687574"/>
      <w:r w:rsidRPr="00DB7641">
        <w:rPr>
          <w:sz w:val="18"/>
          <w:lang w:eastAsia="zh-CN"/>
        </w:rPr>
        <w:t>R1-18</w:t>
      </w:r>
      <w:r w:rsidR="0068573E" w:rsidRPr="00B42D0B">
        <w:rPr>
          <w:sz w:val="18"/>
          <w:lang w:eastAsia="zh-CN"/>
        </w:rPr>
        <w:t>06662</w:t>
      </w:r>
      <w:r w:rsidR="00927BDE">
        <w:rPr>
          <w:sz w:val="18"/>
          <w:lang w:eastAsia="zh-CN"/>
        </w:rPr>
        <w:t>, “</w:t>
      </w:r>
      <w:r w:rsidR="00927BDE" w:rsidRPr="00EC4DEE">
        <w:rPr>
          <w:i/>
          <w:sz w:val="18"/>
          <w:lang w:eastAsia="zh-CN"/>
        </w:rPr>
        <w:t>Dynamic resource allocation between backhaul and access links</w:t>
      </w:r>
      <w:r w:rsidR="00927BDE">
        <w:rPr>
          <w:sz w:val="18"/>
          <w:lang w:eastAsia="zh-CN"/>
        </w:rPr>
        <w:t>”, Nokia, Nokia Shanghai Bell</w:t>
      </w:r>
      <w:bookmarkEnd w:id="3"/>
    </w:p>
    <w:p w14:paraId="3EC4DA9F" w14:textId="2042890A" w:rsidR="00EC4DEE" w:rsidRPr="00EC4DEE" w:rsidRDefault="00DB7641" w:rsidP="00DB7641">
      <w:pPr>
        <w:numPr>
          <w:ilvl w:val="0"/>
          <w:numId w:val="1"/>
        </w:numPr>
        <w:rPr>
          <w:sz w:val="18"/>
        </w:rPr>
      </w:pPr>
      <w:r w:rsidRPr="00DB7641">
        <w:rPr>
          <w:sz w:val="18"/>
          <w:lang w:eastAsia="zh-CN"/>
        </w:rPr>
        <w:t>R1-18</w:t>
      </w:r>
      <w:r w:rsidR="0068573E">
        <w:rPr>
          <w:sz w:val="18"/>
          <w:lang w:eastAsia="zh-CN"/>
        </w:rPr>
        <w:t>06665</w:t>
      </w:r>
      <w:r w:rsidR="00EC4DEE">
        <w:rPr>
          <w:sz w:val="18"/>
          <w:lang w:eastAsia="zh-CN"/>
        </w:rPr>
        <w:t>, “</w:t>
      </w:r>
      <w:r w:rsidR="00927BDE">
        <w:rPr>
          <w:i/>
          <w:sz w:val="18"/>
          <w:lang w:eastAsia="zh-CN"/>
        </w:rPr>
        <w:t>On Cross-link Interference M</w:t>
      </w:r>
      <w:r w:rsidR="00EC4DEE" w:rsidRPr="00EC4DEE">
        <w:rPr>
          <w:i/>
          <w:sz w:val="18"/>
          <w:lang w:eastAsia="zh-CN"/>
        </w:rPr>
        <w:t>itigation</w:t>
      </w:r>
      <w:r w:rsidR="00927BDE">
        <w:rPr>
          <w:i/>
          <w:sz w:val="18"/>
          <w:lang w:eastAsia="zh-CN"/>
        </w:rPr>
        <w:t xml:space="preserve"> in IAB</w:t>
      </w:r>
      <w:r w:rsidR="00EC4DEE">
        <w:rPr>
          <w:i/>
          <w:sz w:val="18"/>
          <w:lang w:eastAsia="zh-CN"/>
        </w:rPr>
        <w:t>”</w:t>
      </w:r>
      <w:r w:rsidR="00EC4DEE">
        <w:rPr>
          <w:sz w:val="18"/>
          <w:lang w:eastAsia="zh-CN"/>
        </w:rPr>
        <w:t>, Nokia, Nokia Shanghai Bell</w:t>
      </w:r>
    </w:p>
    <w:p w14:paraId="70D43389" w14:textId="38FE5851" w:rsidR="00714BA2" w:rsidRPr="00B42D0B" w:rsidRDefault="00DB7641" w:rsidP="00714BA2">
      <w:pPr>
        <w:numPr>
          <w:ilvl w:val="0"/>
          <w:numId w:val="1"/>
        </w:numPr>
        <w:rPr>
          <w:sz w:val="18"/>
        </w:rPr>
      </w:pPr>
      <w:bookmarkStart w:id="4" w:name="_Ref510618534"/>
      <w:r w:rsidRPr="00DB7641">
        <w:rPr>
          <w:sz w:val="18"/>
          <w:lang w:eastAsia="zh-CN"/>
        </w:rPr>
        <w:t>R1-18</w:t>
      </w:r>
      <w:r w:rsidR="0068573E">
        <w:rPr>
          <w:sz w:val="18"/>
          <w:lang w:eastAsia="zh-CN"/>
        </w:rPr>
        <w:t>06664</w:t>
      </w:r>
      <w:r w:rsidR="00927BDE">
        <w:rPr>
          <w:sz w:val="18"/>
          <w:lang w:eastAsia="zh-CN"/>
        </w:rPr>
        <w:t>, “</w:t>
      </w:r>
      <w:r w:rsidR="006901CD">
        <w:rPr>
          <w:i/>
          <w:sz w:val="18"/>
          <w:lang w:eastAsia="zh-CN"/>
        </w:rPr>
        <w:t>IAB synchronization</w:t>
      </w:r>
      <w:r w:rsidR="00927BDE">
        <w:rPr>
          <w:i/>
          <w:sz w:val="18"/>
          <w:lang w:eastAsia="zh-CN"/>
        </w:rPr>
        <w:t>”</w:t>
      </w:r>
      <w:r w:rsidR="00927BDE">
        <w:rPr>
          <w:sz w:val="18"/>
          <w:lang w:eastAsia="zh-CN"/>
        </w:rPr>
        <w:t>, Nokia, Nokia Shanghai Bell</w:t>
      </w:r>
      <w:bookmarkEnd w:id="4"/>
    </w:p>
    <w:sectPr w:rsidR="00714BA2" w:rsidRPr="00B42D0B" w:rsidSect="000131D1">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62FA5" w14:textId="77777777" w:rsidR="00AF4C1B" w:rsidRDefault="00AF4C1B">
      <w:r>
        <w:separator/>
      </w:r>
    </w:p>
  </w:endnote>
  <w:endnote w:type="continuationSeparator" w:id="0">
    <w:p w14:paraId="7B99D90B" w14:textId="77777777" w:rsidR="00AF4C1B" w:rsidRDefault="00AF4C1B">
      <w:r>
        <w:continuationSeparator/>
      </w:r>
    </w:p>
  </w:endnote>
  <w:endnote w:type="continuationNotice" w:id="1">
    <w:p w14:paraId="24FF7A35" w14:textId="77777777" w:rsidR="00AF4C1B" w:rsidRDefault="00AF4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2BE6BF8" w:rsidR="00FB4407" w:rsidRDefault="00B75603">
    <w:pPr>
      <w:pStyle w:val="Footer"/>
    </w:pPr>
    <w:r>
      <mc:AlternateContent>
        <mc:Choice Requires="wps">
          <w:drawing>
            <wp:anchor distT="0" distB="0" distL="114300" distR="114300" simplePos="0" relativeHeight="251659264"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204D39FE" w:rsidR="00B75603" w:rsidRPr="00B75603" w:rsidRDefault="00B7560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204D39FE" w:rsidR="00B75603" w:rsidRPr="00B75603" w:rsidRDefault="00B7560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26894" w14:textId="77777777" w:rsidR="00AF4C1B" w:rsidRDefault="00AF4C1B">
      <w:r>
        <w:separator/>
      </w:r>
    </w:p>
  </w:footnote>
  <w:footnote w:type="continuationSeparator" w:id="0">
    <w:p w14:paraId="122C2F8A" w14:textId="77777777" w:rsidR="00AF4C1B" w:rsidRDefault="00AF4C1B">
      <w:r>
        <w:continuationSeparator/>
      </w:r>
    </w:p>
  </w:footnote>
  <w:footnote w:type="continuationNotice" w:id="1">
    <w:p w14:paraId="60A963D9" w14:textId="77777777" w:rsidR="00AF4C1B" w:rsidRDefault="00AF4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7430E"/>
    <w:multiLevelType w:val="hybridMultilevel"/>
    <w:tmpl w:val="375C4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3A40DE7"/>
    <w:multiLevelType w:val="hybridMultilevel"/>
    <w:tmpl w:val="F7FC0C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A34AF9"/>
    <w:multiLevelType w:val="hybridMultilevel"/>
    <w:tmpl w:val="8B16718A"/>
    <w:lvl w:ilvl="0" w:tplc="8F0C5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30FD17B5"/>
    <w:multiLevelType w:val="hybridMultilevel"/>
    <w:tmpl w:val="8130AD08"/>
    <w:lvl w:ilvl="0" w:tplc="9D44A4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4" w15:restartNumberingAfterBreak="0">
    <w:nsid w:val="455753DD"/>
    <w:multiLevelType w:val="hybridMultilevel"/>
    <w:tmpl w:val="15B29CF4"/>
    <w:lvl w:ilvl="0" w:tplc="040B0001">
      <w:start w:val="1"/>
      <w:numFmt w:val="bullet"/>
      <w:lvlText w:val=""/>
      <w:lvlJc w:val="left"/>
      <w:pPr>
        <w:ind w:left="774" w:hanging="360"/>
      </w:pPr>
      <w:rPr>
        <w:rFonts w:ascii="Symbol" w:hAnsi="Symbol" w:hint="default"/>
      </w:rPr>
    </w:lvl>
    <w:lvl w:ilvl="1" w:tplc="040B0003" w:tentative="1">
      <w:start w:val="1"/>
      <w:numFmt w:val="bullet"/>
      <w:lvlText w:val="o"/>
      <w:lvlJc w:val="left"/>
      <w:pPr>
        <w:ind w:left="1494" w:hanging="360"/>
      </w:pPr>
      <w:rPr>
        <w:rFonts w:ascii="Courier New" w:hAnsi="Courier New" w:cs="Courier New" w:hint="default"/>
      </w:rPr>
    </w:lvl>
    <w:lvl w:ilvl="2" w:tplc="040B0005" w:tentative="1">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25" w15:restartNumberingAfterBreak="0">
    <w:nsid w:val="45D00F4B"/>
    <w:multiLevelType w:val="hybridMultilevel"/>
    <w:tmpl w:val="C6B8F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0"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9"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40" w15:restartNumberingAfterBreak="0">
    <w:nsid w:val="6AE10B18"/>
    <w:multiLevelType w:val="hybridMultilevel"/>
    <w:tmpl w:val="2AC64B46"/>
    <w:lvl w:ilvl="0" w:tplc="2DE87A4C">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673C90"/>
    <w:multiLevelType w:val="hybridMultilevel"/>
    <w:tmpl w:val="537C56F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6F90452B"/>
    <w:multiLevelType w:val="hybridMultilevel"/>
    <w:tmpl w:val="7D5471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13D0238"/>
    <w:multiLevelType w:val="hybridMultilevel"/>
    <w:tmpl w:val="A35C9904"/>
    <w:lvl w:ilvl="0" w:tplc="040B0001">
      <w:start w:val="1"/>
      <w:numFmt w:val="bullet"/>
      <w:lvlText w:val=""/>
      <w:lvlJc w:val="left"/>
      <w:pPr>
        <w:ind w:left="2520" w:hanging="360"/>
      </w:pPr>
      <w:rPr>
        <w:rFonts w:ascii="Symbol" w:hAnsi="Symbol" w:hint="default"/>
      </w:rPr>
    </w:lvl>
    <w:lvl w:ilvl="1" w:tplc="040B0003" w:tentative="1">
      <w:start w:val="1"/>
      <w:numFmt w:val="bullet"/>
      <w:lvlText w:val="o"/>
      <w:lvlJc w:val="left"/>
      <w:pPr>
        <w:ind w:left="3240" w:hanging="360"/>
      </w:pPr>
      <w:rPr>
        <w:rFonts w:ascii="Courier New" w:hAnsi="Courier New" w:cs="Courier New" w:hint="default"/>
      </w:rPr>
    </w:lvl>
    <w:lvl w:ilvl="2" w:tplc="040B0005" w:tentative="1">
      <w:start w:val="1"/>
      <w:numFmt w:val="bullet"/>
      <w:lvlText w:val=""/>
      <w:lvlJc w:val="left"/>
      <w:pPr>
        <w:ind w:left="3960" w:hanging="360"/>
      </w:pPr>
      <w:rPr>
        <w:rFonts w:ascii="Wingdings" w:hAnsi="Wingdings" w:hint="default"/>
      </w:rPr>
    </w:lvl>
    <w:lvl w:ilvl="3" w:tplc="040B0001" w:tentative="1">
      <w:start w:val="1"/>
      <w:numFmt w:val="bullet"/>
      <w:lvlText w:val=""/>
      <w:lvlJc w:val="left"/>
      <w:pPr>
        <w:ind w:left="4680" w:hanging="360"/>
      </w:pPr>
      <w:rPr>
        <w:rFonts w:ascii="Symbol" w:hAnsi="Symbol" w:hint="default"/>
      </w:rPr>
    </w:lvl>
    <w:lvl w:ilvl="4" w:tplc="040B0003" w:tentative="1">
      <w:start w:val="1"/>
      <w:numFmt w:val="bullet"/>
      <w:lvlText w:val="o"/>
      <w:lvlJc w:val="left"/>
      <w:pPr>
        <w:ind w:left="5400" w:hanging="360"/>
      </w:pPr>
      <w:rPr>
        <w:rFonts w:ascii="Courier New" w:hAnsi="Courier New" w:cs="Courier New" w:hint="default"/>
      </w:rPr>
    </w:lvl>
    <w:lvl w:ilvl="5" w:tplc="040B0005" w:tentative="1">
      <w:start w:val="1"/>
      <w:numFmt w:val="bullet"/>
      <w:lvlText w:val=""/>
      <w:lvlJc w:val="left"/>
      <w:pPr>
        <w:ind w:left="6120" w:hanging="360"/>
      </w:pPr>
      <w:rPr>
        <w:rFonts w:ascii="Wingdings" w:hAnsi="Wingdings" w:hint="default"/>
      </w:rPr>
    </w:lvl>
    <w:lvl w:ilvl="6" w:tplc="040B0001" w:tentative="1">
      <w:start w:val="1"/>
      <w:numFmt w:val="bullet"/>
      <w:lvlText w:val=""/>
      <w:lvlJc w:val="left"/>
      <w:pPr>
        <w:ind w:left="6840" w:hanging="360"/>
      </w:pPr>
      <w:rPr>
        <w:rFonts w:ascii="Symbol" w:hAnsi="Symbol" w:hint="default"/>
      </w:rPr>
    </w:lvl>
    <w:lvl w:ilvl="7" w:tplc="040B0003" w:tentative="1">
      <w:start w:val="1"/>
      <w:numFmt w:val="bullet"/>
      <w:lvlText w:val="o"/>
      <w:lvlJc w:val="left"/>
      <w:pPr>
        <w:ind w:left="7560" w:hanging="360"/>
      </w:pPr>
      <w:rPr>
        <w:rFonts w:ascii="Courier New" w:hAnsi="Courier New" w:cs="Courier New" w:hint="default"/>
      </w:rPr>
    </w:lvl>
    <w:lvl w:ilvl="8" w:tplc="040B0005" w:tentative="1">
      <w:start w:val="1"/>
      <w:numFmt w:val="bullet"/>
      <w:lvlText w:val=""/>
      <w:lvlJc w:val="left"/>
      <w:pPr>
        <w:ind w:left="8280" w:hanging="360"/>
      </w:pPr>
      <w:rPr>
        <w:rFonts w:ascii="Wingdings" w:hAnsi="Wingdings" w:hint="default"/>
      </w:rPr>
    </w:lvl>
  </w:abstractNum>
  <w:abstractNum w:abstractNumId="45"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6"/>
  </w:num>
  <w:num w:numId="2">
    <w:abstractNumId w:val="34"/>
  </w:num>
  <w:num w:numId="3">
    <w:abstractNumId w:val="4"/>
  </w:num>
  <w:num w:numId="4">
    <w:abstractNumId w:val="33"/>
  </w:num>
  <w:num w:numId="5">
    <w:abstractNumId w:val="21"/>
  </w:num>
  <w:num w:numId="6">
    <w:abstractNumId w:val="43"/>
  </w:num>
  <w:num w:numId="7">
    <w:abstractNumId w:val="1"/>
  </w:num>
  <w:num w:numId="8">
    <w:abstractNumId w:val="23"/>
  </w:num>
  <w:num w:numId="9">
    <w:abstractNumId w:val="28"/>
  </w:num>
  <w:num w:numId="10">
    <w:abstractNumId w:val="5"/>
  </w:num>
  <w:num w:numId="11">
    <w:abstractNumId w:val="26"/>
  </w:num>
  <w:num w:numId="12">
    <w:abstractNumId w:val="19"/>
  </w:num>
  <w:num w:numId="13">
    <w:abstractNumId w:val="20"/>
  </w:num>
  <w:num w:numId="14">
    <w:abstractNumId w:val="29"/>
  </w:num>
  <w:num w:numId="15">
    <w:abstractNumId w:val="15"/>
  </w:num>
  <w:num w:numId="16">
    <w:abstractNumId w:val="7"/>
  </w:num>
  <w:num w:numId="17">
    <w:abstractNumId w:val="31"/>
  </w:num>
  <w:num w:numId="18">
    <w:abstractNumId w:val="36"/>
  </w:num>
  <w:num w:numId="19">
    <w:abstractNumId w:val="27"/>
  </w:num>
  <w:num w:numId="20">
    <w:abstractNumId w:val="32"/>
  </w:num>
  <w:num w:numId="21">
    <w:abstractNumId w:val="30"/>
  </w:num>
  <w:num w:numId="22">
    <w:abstractNumId w:val="17"/>
  </w:num>
  <w:num w:numId="23">
    <w:abstractNumId w:val="39"/>
  </w:num>
  <w:num w:numId="24">
    <w:abstractNumId w:val="22"/>
  </w:num>
  <w:num w:numId="25">
    <w:abstractNumId w:val="13"/>
  </w:num>
  <w:num w:numId="26">
    <w:abstractNumId w:val="37"/>
  </w:num>
  <w:num w:numId="27">
    <w:abstractNumId w:val="6"/>
  </w:num>
  <w:num w:numId="28">
    <w:abstractNumId w:val="18"/>
  </w:num>
  <w:num w:numId="29">
    <w:abstractNumId w:val="45"/>
  </w:num>
  <w:num w:numId="30">
    <w:abstractNumId w:val="35"/>
  </w:num>
  <w:num w:numId="31">
    <w:abstractNumId w:val="3"/>
  </w:num>
  <w:num w:numId="32">
    <w:abstractNumId w:val="38"/>
  </w:num>
  <w:num w:numId="33">
    <w:abstractNumId w:val="2"/>
  </w:num>
  <w:num w:numId="34">
    <w:abstractNumId w:val="12"/>
  </w:num>
  <w:num w:numId="35">
    <w:abstractNumId w:val="11"/>
  </w:num>
  <w:num w:numId="36">
    <w:abstractNumId w:val="0"/>
  </w:num>
  <w:num w:numId="37">
    <w:abstractNumId w:val="10"/>
  </w:num>
  <w:num w:numId="38">
    <w:abstractNumId w:val="14"/>
  </w:num>
  <w:num w:numId="39">
    <w:abstractNumId w:val="40"/>
  </w:num>
  <w:num w:numId="40">
    <w:abstractNumId w:val="9"/>
  </w:num>
  <w:num w:numId="41">
    <w:abstractNumId w:val="42"/>
  </w:num>
  <w:num w:numId="42">
    <w:abstractNumId w:val="24"/>
  </w:num>
  <w:num w:numId="43">
    <w:abstractNumId w:val="8"/>
  </w:num>
  <w:num w:numId="44">
    <w:abstractNumId w:val="44"/>
  </w:num>
  <w:num w:numId="45">
    <w:abstractNumId w:val="25"/>
  </w:num>
  <w:num w:numId="46">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A9"/>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37"/>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2D37"/>
    <w:rsid w:val="00033544"/>
    <w:rsid w:val="0003479E"/>
    <w:rsid w:val="0003484F"/>
    <w:rsid w:val="00035691"/>
    <w:rsid w:val="00035AE0"/>
    <w:rsid w:val="000360FE"/>
    <w:rsid w:val="0004132D"/>
    <w:rsid w:val="00041358"/>
    <w:rsid w:val="000425C9"/>
    <w:rsid w:val="000447D9"/>
    <w:rsid w:val="00044CFA"/>
    <w:rsid w:val="000459C7"/>
    <w:rsid w:val="00046630"/>
    <w:rsid w:val="00046C80"/>
    <w:rsid w:val="00046DD1"/>
    <w:rsid w:val="000474A4"/>
    <w:rsid w:val="000479CE"/>
    <w:rsid w:val="00047FFA"/>
    <w:rsid w:val="00050112"/>
    <w:rsid w:val="00050466"/>
    <w:rsid w:val="000505CC"/>
    <w:rsid w:val="000511F9"/>
    <w:rsid w:val="0005151E"/>
    <w:rsid w:val="000520B0"/>
    <w:rsid w:val="0005230E"/>
    <w:rsid w:val="00052850"/>
    <w:rsid w:val="000528A2"/>
    <w:rsid w:val="00052BBA"/>
    <w:rsid w:val="00054B59"/>
    <w:rsid w:val="00054D9D"/>
    <w:rsid w:val="00055676"/>
    <w:rsid w:val="0005581E"/>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CF5"/>
    <w:rsid w:val="00072FF5"/>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2E70"/>
    <w:rsid w:val="00093C49"/>
    <w:rsid w:val="00095A80"/>
    <w:rsid w:val="000973C8"/>
    <w:rsid w:val="000973E1"/>
    <w:rsid w:val="0009774C"/>
    <w:rsid w:val="000A1402"/>
    <w:rsid w:val="000A20BA"/>
    <w:rsid w:val="000A262C"/>
    <w:rsid w:val="000A38C0"/>
    <w:rsid w:val="000A3C8D"/>
    <w:rsid w:val="000A40EA"/>
    <w:rsid w:val="000A40EC"/>
    <w:rsid w:val="000A44E7"/>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68E5"/>
    <w:rsid w:val="000B7043"/>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40E7"/>
    <w:rsid w:val="000D4FD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17553"/>
    <w:rsid w:val="001204DD"/>
    <w:rsid w:val="00121D83"/>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097"/>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205"/>
    <w:rsid w:val="00170A50"/>
    <w:rsid w:val="0017157A"/>
    <w:rsid w:val="00171F0C"/>
    <w:rsid w:val="0017421B"/>
    <w:rsid w:val="00174FFD"/>
    <w:rsid w:val="001759CA"/>
    <w:rsid w:val="00176E51"/>
    <w:rsid w:val="0017726A"/>
    <w:rsid w:val="00177A7B"/>
    <w:rsid w:val="00177B88"/>
    <w:rsid w:val="00177DD3"/>
    <w:rsid w:val="00180278"/>
    <w:rsid w:val="001818A7"/>
    <w:rsid w:val="00182725"/>
    <w:rsid w:val="001829C8"/>
    <w:rsid w:val="00182CA0"/>
    <w:rsid w:val="00183FB0"/>
    <w:rsid w:val="00184098"/>
    <w:rsid w:val="00185D8A"/>
    <w:rsid w:val="00186904"/>
    <w:rsid w:val="00186B0A"/>
    <w:rsid w:val="001905BD"/>
    <w:rsid w:val="00190946"/>
    <w:rsid w:val="001923CE"/>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18A9"/>
    <w:rsid w:val="001C226F"/>
    <w:rsid w:val="001C4130"/>
    <w:rsid w:val="001C52F3"/>
    <w:rsid w:val="001C66AC"/>
    <w:rsid w:val="001C6754"/>
    <w:rsid w:val="001C77F0"/>
    <w:rsid w:val="001C7A39"/>
    <w:rsid w:val="001D0A7B"/>
    <w:rsid w:val="001D1B8A"/>
    <w:rsid w:val="001D2304"/>
    <w:rsid w:val="001D2B7D"/>
    <w:rsid w:val="001D46A0"/>
    <w:rsid w:val="001D4E22"/>
    <w:rsid w:val="001D5FB0"/>
    <w:rsid w:val="001D689E"/>
    <w:rsid w:val="001D7CA4"/>
    <w:rsid w:val="001D7E58"/>
    <w:rsid w:val="001E1791"/>
    <w:rsid w:val="001E30A0"/>
    <w:rsid w:val="001E3F75"/>
    <w:rsid w:val="001E4D4F"/>
    <w:rsid w:val="001E57CF"/>
    <w:rsid w:val="001E5981"/>
    <w:rsid w:val="001E74BA"/>
    <w:rsid w:val="001E7B9F"/>
    <w:rsid w:val="001E7C2A"/>
    <w:rsid w:val="001F01FB"/>
    <w:rsid w:val="001F0658"/>
    <w:rsid w:val="001F0E92"/>
    <w:rsid w:val="001F1306"/>
    <w:rsid w:val="001F1987"/>
    <w:rsid w:val="001F23BD"/>
    <w:rsid w:val="001F34DA"/>
    <w:rsid w:val="001F4DAC"/>
    <w:rsid w:val="001F4E69"/>
    <w:rsid w:val="001F5019"/>
    <w:rsid w:val="001F53CA"/>
    <w:rsid w:val="001F650F"/>
    <w:rsid w:val="001F67AA"/>
    <w:rsid w:val="001F7599"/>
    <w:rsid w:val="00204B3A"/>
    <w:rsid w:val="00204E26"/>
    <w:rsid w:val="0020535A"/>
    <w:rsid w:val="00205F67"/>
    <w:rsid w:val="00206955"/>
    <w:rsid w:val="00210309"/>
    <w:rsid w:val="00210A97"/>
    <w:rsid w:val="00212FB8"/>
    <w:rsid w:val="00213709"/>
    <w:rsid w:val="002149AF"/>
    <w:rsid w:val="00214A86"/>
    <w:rsid w:val="00215664"/>
    <w:rsid w:val="00215AAA"/>
    <w:rsid w:val="0021683C"/>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6450"/>
    <w:rsid w:val="0023765A"/>
    <w:rsid w:val="00237921"/>
    <w:rsid w:val="00241311"/>
    <w:rsid w:val="00242E22"/>
    <w:rsid w:val="0024336B"/>
    <w:rsid w:val="00244224"/>
    <w:rsid w:val="0024424F"/>
    <w:rsid w:val="00244D28"/>
    <w:rsid w:val="00245720"/>
    <w:rsid w:val="00245A6F"/>
    <w:rsid w:val="00245FD5"/>
    <w:rsid w:val="002465E4"/>
    <w:rsid w:val="00246C0C"/>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BDD"/>
    <w:rsid w:val="00285DE2"/>
    <w:rsid w:val="0028616D"/>
    <w:rsid w:val="002865E2"/>
    <w:rsid w:val="00286965"/>
    <w:rsid w:val="002869D5"/>
    <w:rsid w:val="00286A43"/>
    <w:rsid w:val="00290CDD"/>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4FD2"/>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5A53"/>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625E"/>
    <w:rsid w:val="00356275"/>
    <w:rsid w:val="003569B7"/>
    <w:rsid w:val="00356B54"/>
    <w:rsid w:val="00356C0B"/>
    <w:rsid w:val="00357B9C"/>
    <w:rsid w:val="00361412"/>
    <w:rsid w:val="003615CA"/>
    <w:rsid w:val="00361DD1"/>
    <w:rsid w:val="00363112"/>
    <w:rsid w:val="00363346"/>
    <w:rsid w:val="003642A6"/>
    <w:rsid w:val="00364853"/>
    <w:rsid w:val="003664B9"/>
    <w:rsid w:val="00367337"/>
    <w:rsid w:val="00367367"/>
    <w:rsid w:val="00367FD8"/>
    <w:rsid w:val="00370B63"/>
    <w:rsid w:val="00370FCC"/>
    <w:rsid w:val="003711AF"/>
    <w:rsid w:val="00371364"/>
    <w:rsid w:val="003733E5"/>
    <w:rsid w:val="00374848"/>
    <w:rsid w:val="003757B7"/>
    <w:rsid w:val="00375D09"/>
    <w:rsid w:val="0037739D"/>
    <w:rsid w:val="0037751C"/>
    <w:rsid w:val="00377DED"/>
    <w:rsid w:val="00380F3F"/>
    <w:rsid w:val="00382232"/>
    <w:rsid w:val="00382772"/>
    <w:rsid w:val="00382F1A"/>
    <w:rsid w:val="00383282"/>
    <w:rsid w:val="00383658"/>
    <w:rsid w:val="0038412E"/>
    <w:rsid w:val="00386053"/>
    <w:rsid w:val="0038771D"/>
    <w:rsid w:val="0039287E"/>
    <w:rsid w:val="00393507"/>
    <w:rsid w:val="003935F1"/>
    <w:rsid w:val="00393E44"/>
    <w:rsid w:val="00394270"/>
    <w:rsid w:val="00396EAE"/>
    <w:rsid w:val="00397AB6"/>
    <w:rsid w:val="00397ACA"/>
    <w:rsid w:val="003A0417"/>
    <w:rsid w:val="003A10C3"/>
    <w:rsid w:val="003A3647"/>
    <w:rsid w:val="003A597F"/>
    <w:rsid w:val="003A71A8"/>
    <w:rsid w:val="003A7926"/>
    <w:rsid w:val="003B00CA"/>
    <w:rsid w:val="003B030B"/>
    <w:rsid w:val="003B0432"/>
    <w:rsid w:val="003B05D9"/>
    <w:rsid w:val="003B0821"/>
    <w:rsid w:val="003B0BE9"/>
    <w:rsid w:val="003B0DAF"/>
    <w:rsid w:val="003B19F8"/>
    <w:rsid w:val="003B2E9B"/>
    <w:rsid w:val="003B2F8D"/>
    <w:rsid w:val="003B3C29"/>
    <w:rsid w:val="003B4FAA"/>
    <w:rsid w:val="003B547A"/>
    <w:rsid w:val="003B68C8"/>
    <w:rsid w:val="003B6CB0"/>
    <w:rsid w:val="003B75B9"/>
    <w:rsid w:val="003C0DA2"/>
    <w:rsid w:val="003C0DBA"/>
    <w:rsid w:val="003C1A18"/>
    <w:rsid w:val="003C3261"/>
    <w:rsid w:val="003C5A08"/>
    <w:rsid w:val="003C5C41"/>
    <w:rsid w:val="003C7461"/>
    <w:rsid w:val="003D0788"/>
    <w:rsid w:val="003D0C0B"/>
    <w:rsid w:val="003D0E0F"/>
    <w:rsid w:val="003D132A"/>
    <w:rsid w:val="003D1517"/>
    <w:rsid w:val="003D2938"/>
    <w:rsid w:val="003D2C75"/>
    <w:rsid w:val="003D3FBA"/>
    <w:rsid w:val="003D402B"/>
    <w:rsid w:val="003D4444"/>
    <w:rsid w:val="003D764F"/>
    <w:rsid w:val="003D7D81"/>
    <w:rsid w:val="003E04EB"/>
    <w:rsid w:val="003E0667"/>
    <w:rsid w:val="003E0BCE"/>
    <w:rsid w:val="003E13E0"/>
    <w:rsid w:val="003E1660"/>
    <w:rsid w:val="003E1CD1"/>
    <w:rsid w:val="003E1F8A"/>
    <w:rsid w:val="003E2A2D"/>
    <w:rsid w:val="003E2EEE"/>
    <w:rsid w:val="003E40BD"/>
    <w:rsid w:val="003E473F"/>
    <w:rsid w:val="003E521F"/>
    <w:rsid w:val="003E64A9"/>
    <w:rsid w:val="003E7002"/>
    <w:rsid w:val="003E7905"/>
    <w:rsid w:val="003F0336"/>
    <w:rsid w:val="003F2147"/>
    <w:rsid w:val="003F4488"/>
    <w:rsid w:val="003F4C1D"/>
    <w:rsid w:val="003F53EE"/>
    <w:rsid w:val="003F5547"/>
    <w:rsid w:val="003F5C40"/>
    <w:rsid w:val="003F6E12"/>
    <w:rsid w:val="003F75ED"/>
    <w:rsid w:val="004002B7"/>
    <w:rsid w:val="00400F31"/>
    <w:rsid w:val="004012AE"/>
    <w:rsid w:val="0040130A"/>
    <w:rsid w:val="00402295"/>
    <w:rsid w:val="00406B4D"/>
    <w:rsid w:val="00407F6A"/>
    <w:rsid w:val="0041443C"/>
    <w:rsid w:val="004154F7"/>
    <w:rsid w:val="00416D44"/>
    <w:rsid w:val="004176FF"/>
    <w:rsid w:val="00421A27"/>
    <w:rsid w:val="00421D0A"/>
    <w:rsid w:val="004221AD"/>
    <w:rsid w:val="004229D8"/>
    <w:rsid w:val="0042416C"/>
    <w:rsid w:val="004241C5"/>
    <w:rsid w:val="00424FA7"/>
    <w:rsid w:val="00424FBD"/>
    <w:rsid w:val="00426A87"/>
    <w:rsid w:val="004309D8"/>
    <w:rsid w:val="004313D1"/>
    <w:rsid w:val="00431FD5"/>
    <w:rsid w:val="00432110"/>
    <w:rsid w:val="00433EBE"/>
    <w:rsid w:val="00434406"/>
    <w:rsid w:val="0043751F"/>
    <w:rsid w:val="00440FED"/>
    <w:rsid w:val="00441194"/>
    <w:rsid w:val="00441B0A"/>
    <w:rsid w:val="00441B3C"/>
    <w:rsid w:val="00441B92"/>
    <w:rsid w:val="00442607"/>
    <w:rsid w:val="0044474B"/>
    <w:rsid w:val="004451D3"/>
    <w:rsid w:val="00445FF7"/>
    <w:rsid w:val="004501CE"/>
    <w:rsid w:val="004523DC"/>
    <w:rsid w:val="00453341"/>
    <w:rsid w:val="004545C6"/>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5299"/>
    <w:rsid w:val="00466A0F"/>
    <w:rsid w:val="0046795B"/>
    <w:rsid w:val="004708C0"/>
    <w:rsid w:val="004715CB"/>
    <w:rsid w:val="00471863"/>
    <w:rsid w:val="00472233"/>
    <w:rsid w:val="00473353"/>
    <w:rsid w:val="00473A14"/>
    <w:rsid w:val="00474CA8"/>
    <w:rsid w:val="00474E43"/>
    <w:rsid w:val="00475A4A"/>
    <w:rsid w:val="00476DA5"/>
    <w:rsid w:val="0048076D"/>
    <w:rsid w:val="00481A3B"/>
    <w:rsid w:val="00481C24"/>
    <w:rsid w:val="00481D90"/>
    <w:rsid w:val="00481E96"/>
    <w:rsid w:val="00482CD4"/>
    <w:rsid w:val="00483261"/>
    <w:rsid w:val="00484021"/>
    <w:rsid w:val="00485843"/>
    <w:rsid w:val="00485B23"/>
    <w:rsid w:val="0048630D"/>
    <w:rsid w:val="004874E4"/>
    <w:rsid w:val="0049070D"/>
    <w:rsid w:val="004914A9"/>
    <w:rsid w:val="00491BE4"/>
    <w:rsid w:val="00491DB2"/>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5E52"/>
    <w:rsid w:val="004B5E6F"/>
    <w:rsid w:val="004B7455"/>
    <w:rsid w:val="004B74FF"/>
    <w:rsid w:val="004B787C"/>
    <w:rsid w:val="004B7CE4"/>
    <w:rsid w:val="004C0401"/>
    <w:rsid w:val="004C0C49"/>
    <w:rsid w:val="004C183D"/>
    <w:rsid w:val="004C2669"/>
    <w:rsid w:val="004C3AE2"/>
    <w:rsid w:val="004C3EC7"/>
    <w:rsid w:val="004C3EEE"/>
    <w:rsid w:val="004C483D"/>
    <w:rsid w:val="004C4EF9"/>
    <w:rsid w:val="004C6AB8"/>
    <w:rsid w:val="004C6C7D"/>
    <w:rsid w:val="004C795A"/>
    <w:rsid w:val="004C7F93"/>
    <w:rsid w:val="004D26B8"/>
    <w:rsid w:val="004D38C2"/>
    <w:rsid w:val="004D4FBD"/>
    <w:rsid w:val="004D4FC0"/>
    <w:rsid w:val="004D7DA8"/>
    <w:rsid w:val="004E2892"/>
    <w:rsid w:val="004E362B"/>
    <w:rsid w:val="004E3681"/>
    <w:rsid w:val="004E3D74"/>
    <w:rsid w:val="004E5AD0"/>
    <w:rsid w:val="004E708D"/>
    <w:rsid w:val="004E784B"/>
    <w:rsid w:val="004E7ED0"/>
    <w:rsid w:val="004E7F68"/>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7E0"/>
    <w:rsid w:val="00511CDF"/>
    <w:rsid w:val="00512829"/>
    <w:rsid w:val="00513839"/>
    <w:rsid w:val="00513B29"/>
    <w:rsid w:val="00513DEF"/>
    <w:rsid w:val="0051423C"/>
    <w:rsid w:val="00514C91"/>
    <w:rsid w:val="00514CA9"/>
    <w:rsid w:val="005153CE"/>
    <w:rsid w:val="00516241"/>
    <w:rsid w:val="00516D3F"/>
    <w:rsid w:val="00516FD9"/>
    <w:rsid w:val="0051791D"/>
    <w:rsid w:val="00520D6D"/>
    <w:rsid w:val="0052224D"/>
    <w:rsid w:val="00522F9D"/>
    <w:rsid w:val="00523E75"/>
    <w:rsid w:val="005243E0"/>
    <w:rsid w:val="00524454"/>
    <w:rsid w:val="005256F3"/>
    <w:rsid w:val="00525C15"/>
    <w:rsid w:val="00526322"/>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541"/>
    <w:rsid w:val="00540B5A"/>
    <w:rsid w:val="005420DE"/>
    <w:rsid w:val="00542249"/>
    <w:rsid w:val="005431F5"/>
    <w:rsid w:val="00543707"/>
    <w:rsid w:val="00543EBB"/>
    <w:rsid w:val="00544213"/>
    <w:rsid w:val="005453F3"/>
    <w:rsid w:val="00545549"/>
    <w:rsid w:val="00546312"/>
    <w:rsid w:val="005467DC"/>
    <w:rsid w:val="005469F5"/>
    <w:rsid w:val="00546A74"/>
    <w:rsid w:val="005518ED"/>
    <w:rsid w:val="00552093"/>
    <w:rsid w:val="00552309"/>
    <w:rsid w:val="00554E4B"/>
    <w:rsid w:val="00555CBB"/>
    <w:rsid w:val="00555F67"/>
    <w:rsid w:val="00556605"/>
    <w:rsid w:val="00556CC5"/>
    <w:rsid w:val="005601AC"/>
    <w:rsid w:val="005606A4"/>
    <w:rsid w:val="005607B8"/>
    <w:rsid w:val="00560CF5"/>
    <w:rsid w:val="00562330"/>
    <w:rsid w:val="0056272D"/>
    <w:rsid w:val="00562BAB"/>
    <w:rsid w:val="0056308E"/>
    <w:rsid w:val="005638C1"/>
    <w:rsid w:val="00563912"/>
    <w:rsid w:val="0056415C"/>
    <w:rsid w:val="005649BF"/>
    <w:rsid w:val="005650ED"/>
    <w:rsid w:val="00565869"/>
    <w:rsid w:val="00567415"/>
    <w:rsid w:val="00567610"/>
    <w:rsid w:val="00570D9F"/>
    <w:rsid w:val="00571CA8"/>
    <w:rsid w:val="005734C0"/>
    <w:rsid w:val="00574BA6"/>
    <w:rsid w:val="00577B37"/>
    <w:rsid w:val="00580793"/>
    <w:rsid w:val="00581470"/>
    <w:rsid w:val="00581893"/>
    <w:rsid w:val="00581E73"/>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FF6"/>
    <w:rsid w:val="005B303B"/>
    <w:rsid w:val="005B3C6D"/>
    <w:rsid w:val="005B4045"/>
    <w:rsid w:val="005B49A7"/>
    <w:rsid w:val="005B4AEC"/>
    <w:rsid w:val="005B609E"/>
    <w:rsid w:val="005B6DF6"/>
    <w:rsid w:val="005B6EA6"/>
    <w:rsid w:val="005B780E"/>
    <w:rsid w:val="005B7B7D"/>
    <w:rsid w:val="005C1948"/>
    <w:rsid w:val="005C19A5"/>
    <w:rsid w:val="005C263C"/>
    <w:rsid w:val="005C2679"/>
    <w:rsid w:val="005C2CB5"/>
    <w:rsid w:val="005C41D4"/>
    <w:rsid w:val="005C6FAD"/>
    <w:rsid w:val="005D0079"/>
    <w:rsid w:val="005D059A"/>
    <w:rsid w:val="005D07AE"/>
    <w:rsid w:val="005D07C5"/>
    <w:rsid w:val="005D1478"/>
    <w:rsid w:val="005D1FF8"/>
    <w:rsid w:val="005D4213"/>
    <w:rsid w:val="005D4302"/>
    <w:rsid w:val="005D55FF"/>
    <w:rsid w:val="005D5A20"/>
    <w:rsid w:val="005D6055"/>
    <w:rsid w:val="005D612D"/>
    <w:rsid w:val="005D6F3E"/>
    <w:rsid w:val="005D786C"/>
    <w:rsid w:val="005E00E5"/>
    <w:rsid w:val="005E049F"/>
    <w:rsid w:val="005E1588"/>
    <w:rsid w:val="005E3073"/>
    <w:rsid w:val="005E316A"/>
    <w:rsid w:val="005E5E1A"/>
    <w:rsid w:val="005E6C16"/>
    <w:rsid w:val="005E7117"/>
    <w:rsid w:val="005E746D"/>
    <w:rsid w:val="005F0108"/>
    <w:rsid w:val="005F0ECC"/>
    <w:rsid w:val="005F21A5"/>
    <w:rsid w:val="005F2470"/>
    <w:rsid w:val="005F28C6"/>
    <w:rsid w:val="005F3F16"/>
    <w:rsid w:val="005F5241"/>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731"/>
    <w:rsid w:val="00606A26"/>
    <w:rsid w:val="00606AC6"/>
    <w:rsid w:val="00606CC0"/>
    <w:rsid w:val="00607D81"/>
    <w:rsid w:val="00610747"/>
    <w:rsid w:val="00610E03"/>
    <w:rsid w:val="00610EC7"/>
    <w:rsid w:val="0061176E"/>
    <w:rsid w:val="00612A14"/>
    <w:rsid w:val="0061417F"/>
    <w:rsid w:val="00614CD1"/>
    <w:rsid w:val="0061567B"/>
    <w:rsid w:val="00616921"/>
    <w:rsid w:val="0062152A"/>
    <w:rsid w:val="00621893"/>
    <w:rsid w:val="00623583"/>
    <w:rsid w:val="00623717"/>
    <w:rsid w:val="00623D9E"/>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33BD"/>
    <w:rsid w:val="00643784"/>
    <w:rsid w:val="00644186"/>
    <w:rsid w:val="00644803"/>
    <w:rsid w:val="00644A21"/>
    <w:rsid w:val="006452EE"/>
    <w:rsid w:val="00645C9F"/>
    <w:rsid w:val="00646256"/>
    <w:rsid w:val="00646305"/>
    <w:rsid w:val="006463D6"/>
    <w:rsid w:val="00646A6C"/>
    <w:rsid w:val="00646F20"/>
    <w:rsid w:val="006475E6"/>
    <w:rsid w:val="006508B9"/>
    <w:rsid w:val="00650CA1"/>
    <w:rsid w:val="00651854"/>
    <w:rsid w:val="006539E8"/>
    <w:rsid w:val="006563F3"/>
    <w:rsid w:val="006565D8"/>
    <w:rsid w:val="006567C6"/>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8573E"/>
    <w:rsid w:val="0069011A"/>
    <w:rsid w:val="006901CD"/>
    <w:rsid w:val="00690E2E"/>
    <w:rsid w:val="006915D7"/>
    <w:rsid w:val="00692814"/>
    <w:rsid w:val="0069320E"/>
    <w:rsid w:val="006932E7"/>
    <w:rsid w:val="00693347"/>
    <w:rsid w:val="0069334C"/>
    <w:rsid w:val="00696D63"/>
    <w:rsid w:val="0069729C"/>
    <w:rsid w:val="00697EBA"/>
    <w:rsid w:val="006A032F"/>
    <w:rsid w:val="006A41AE"/>
    <w:rsid w:val="006A432B"/>
    <w:rsid w:val="006A4856"/>
    <w:rsid w:val="006A530D"/>
    <w:rsid w:val="006A564B"/>
    <w:rsid w:val="006A5CBF"/>
    <w:rsid w:val="006B0386"/>
    <w:rsid w:val="006B08CF"/>
    <w:rsid w:val="006B0B90"/>
    <w:rsid w:val="006B1545"/>
    <w:rsid w:val="006B27AC"/>
    <w:rsid w:val="006B2DA7"/>
    <w:rsid w:val="006B2F4D"/>
    <w:rsid w:val="006B3682"/>
    <w:rsid w:val="006B48CB"/>
    <w:rsid w:val="006B4FE8"/>
    <w:rsid w:val="006B715C"/>
    <w:rsid w:val="006B7CE0"/>
    <w:rsid w:val="006C08C5"/>
    <w:rsid w:val="006C1445"/>
    <w:rsid w:val="006C2A59"/>
    <w:rsid w:val="006C3959"/>
    <w:rsid w:val="006C4FC1"/>
    <w:rsid w:val="006C51A5"/>
    <w:rsid w:val="006C529D"/>
    <w:rsid w:val="006C5670"/>
    <w:rsid w:val="006C58B2"/>
    <w:rsid w:val="006C65A1"/>
    <w:rsid w:val="006C7B01"/>
    <w:rsid w:val="006C7CC9"/>
    <w:rsid w:val="006C7CFC"/>
    <w:rsid w:val="006D0E6B"/>
    <w:rsid w:val="006D1073"/>
    <w:rsid w:val="006D2146"/>
    <w:rsid w:val="006D2D0B"/>
    <w:rsid w:val="006D632E"/>
    <w:rsid w:val="006D668E"/>
    <w:rsid w:val="006E094A"/>
    <w:rsid w:val="006E12B1"/>
    <w:rsid w:val="006E13D1"/>
    <w:rsid w:val="006E1A08"/>
    <w:rsid w:val="006E283E"/>
    <w:rsid w:val="006E2A4B"/>
    <w:rsid w:val="006E4D0C"/>
    <w:rsid w:val="006E4D1B"/>
    <w:rsid w:val="006E5B78"/>
    <w:rsid w:val="006E6BA3"/>
    <w:rsid w:val="006F01EB"/>
    <w:rsid w:val="006F1116"/>
    <w:rsid w:val="006F256A"/>
    <w:rsid w:val="006F3196"/>
    <w:rsid w:val="006F3C54"/>
    <w:rsid w:val="006F5E64"/>
    <w:rsid w:val="006F60DE"/>
    <w:rsid w:val="006F7914"/>
    <w:rsid w:val="006F7E46"/>
    <w:rsid w:val="00700AB4"/>
    <w:rsid w:val="00700FCA"/>
    <w:rsid w:val="00701645"/>
    <w:rsid w:val="00702C80"/>
    <w:rsid w:val="00702D5A"/>
    <w:rsid w:val="00702EF7"/>
    <w:rsid w:val="00703989"/>
    <w:rsid w:val="007042E9"/>
    <w:rsid w:val="0070687A"/>
    <w:rsid w:val="00710393"/>
    <w:rsid w:val="0071118B"/>
    <w:rsid w:val="00711E13"/>
    <w:rsid w:val="00712EDA"/>
    <w:rsid w:val="007136D0"/>
    <w:rsid w:val="00714BA2"/>
    <w:rsid w:val="007155A9"/>
    <w:rsid w:val="007158E1"/>
    <w:rsid w:val="0071705B"/>
    <w:rsid w:val="00720505"/>
    <w:rsid w:val="007205E1"/>
    <w:rsid w:val="007236A3"/>
    <w:rsid w:val="007239B6"/>
    <w:rsid w:val="0072490A"/>
    <w:rsid w:val="0072517D"/>
    <w:rsid w:val="0072558B"/>
    <w:rsid w:val="00726878"/>
    <w:rsid w:val="0073124A"/>
    <w:rsid w:val="00731B79"/>
    <w:rsid w:val="00731EFA"/>
    <w:rsid w:val="007331CE"/>
    <w:rsid w:val="00733893"/>
    <w:rsid w:val="00734A05"/>
    <w:rsid w:val="00735C6F"/>
    <w:rsid w:val="007408D5"/>
    <w:rsid w:val="00742B44"/>
    <w:rsid w:val="007440FE"/>
    <w:rsid w:val="0074655A"/>
    <w:rsid w:val="007469B7"/>
    <w:rsid w:val="00746C78"/>
    <w:rsid w:val="00746CC5"/>
    <w:rsid w:val="00751B94"/>
    <w:rsid w:val="00753BB5"/>
    <w:rsid w:val="00756832"/>
    <w:rsid w:val="007626D0"/>
    <w:rsid w:val="007651CA"/>
    <w:rsid w:val="00767519"/>
    <w:rsid w:val="00767CE5"/>
    <w:rsid w:val="00767EE3"/>
    <w:rsid w:val="007704E1"/>
    <w:rsid w:val="00772569"/>
    <w:rsid w:val="00772E8C"/>
    <w:rsid w:val="007736D3"/>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5B70"/>
    <w:rsid w:val="00786ED1"/>
    <w:rsid w:val="00787051"/>
    <w:rsid w:val="0079018D"/>
    <w:rsid w:val="00791A00"/>
    <w:rsid w:val="00791DBA"/>
    <w:rsid w:val="00791DC7"/>
    <w:rsid w:val="00791F3A"/>
    <w:rsid w:val="00792CEE"/>
    <w:rsid w:val="00794E92"/>
    <w:rsid w:val="0079656A"/>
    <w:rsid w:val="00796D86"/>
    <w:rsid w:val="00796F15"/>
    <w:rsid w:val="007A138F"/>
    <w:rsid w:val="007A1640"/>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64A"/>
    <w:rsid w:val="007D1972"/>
    <w:rsid w:val="007D1F33"/>
    <w:rsid w:val="007D2146"/>
    <w:rsid w:val="007D24BF"/>
    <w:rsid w:val="007D2BBA"/>
    <w:rsid w:val="007D3307"/>
    <w:rsid w:val="007D432A"/>
    <w:rsid w:val="007D5A88"/>
    <w:rsid w:val="007D5E27"/>
    <w:rsid w:val="007D6F64"/>
    <w:rsid w:val="007D752A"/>
    <w:rsid w:val="007E12FD"/>
    <w:rsid w:val="007E25AB"/>
    <w:rsid w:val="007E2C70"/>
    <w:rsid w:val="007E45BC"/>
    <w:rsid w:val="007E5AC2"/>
    <w:rsid w:val="007E79C5"/>
    <w:rsid w:val="007F0036"/>
    <w:rsid w:val="007F143A"/>
    <w:rsid w:val="007F2845"/>
    <w:rsid w:val="007F43BC"/>
    <w:rsid w:val="007F43C1"/>
    <w:rsid w:val="007F4740"/>
    <w:rsid w:val="007F5CEB"/>
    <w:rsid w:val="007F6202"/>
    <w:rsid w:val="007F7E1D"/>
    <w:rsid w:val="008006C6"/>
    <w:rsid w:val="00800C52"/>
    <w:rsid w:val="00800F33"/>
    <w:rsid w:val="00800FE1"/>
    <w:rsid w:val="0080153E"/>
    <w:rsid w:val="00805533"/>
    <w:rsid w:val="0080742D"/>
    <w:rsid w:val="008100AC"/>
    <w:rsid w:val="008114D3"/>
    <w:rsid w:val="0081151E"/>
    <w:rsid w:val="00812498"/>
    <w:rsid w:val="0081263E"/>
    <w:rsid w:val="008127E6"/>
    <w:rsid w:val="0081336E"/>
    <w:rsid w:val="00813928"/>
    <w:rsid w:val="008202CD"/>
    <w:rsid w:val="00820DC7"/>
    <w:rsid w:val="00820FFB"/>
    <w:rsid w:val="00821698"/>
    <w:rsid w:val="008221FE"/>
    <w:rsid w:val="00822B6B"/>
    <w:rsid w:val="00822BF5"/>
    <w:rsid w:val="00824894"/>
    <w:rsid w:val="00825366"/>
    <w:rsid w:val="00825B11"/>
    <w:rsid w:val="00826C7B"/>
    <w:rsid w:val="00826DD9"/>
    <w:rsid w:val="00826E01"/>
    <w:rsid w:val="008277A8"/>
    <w:rsid w:val="008278B6"/>
    <w:rsid w:val="008307ED"/>
    <w:rsid w:val="00832918"/>
    <w:rsid w:val="00833065"/>
    <w:rsid w:val="0083350F"/>
    <w:rsid w:val="00834237"/>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279"/>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215D"/>
    <w:rsid w:val="008A4B16"/>
    <w:rsid w:val="008A4D63"/>
    <w:rsid w:val="008A6D62"/>
    <w:rsid w:val="008B0E47"/>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6220"/>
    <w:rsid w:val="008E721F"/>
    <w:rsid w:val="008E7D63"/>
    <w:rsid w:val="008F00DB"/>
    <w:rsid w:val="008F1002"/>
    <w:rsid w:val="008F110E"/>
    <w:rsid w:val="008F1264"/>
    <w:rsid w:val="008F47C6"/>
    <w:rsid w:val="008F4CF7"/>
    <w:rsid w:val="008F4EDF"/>
    <w:rsid w:val="008F5948"/>
    <w:rsid w:val="00900093"/>
    <w:rsid w:val="009006A2"/>
    <w:rsid w:val="0090102B"/>
    <w:rsid w:val="00901448"/>
    <w:rsid w:val="009026AD"/>
    <w:rsid w:val="009036BC"/>
    <w:rsid w:val="00903AFB"/>
    <w:rsid w:val="00904F99"/>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02A"/>
    <w:rsid w:val="009213BD"/>
    <w:rsid w:val="00921AA2"/>
    <w:rsid w:val="00922DC3"/>
    <w:rsid w:val="00923AFA"/>
    <w:rsid w:val="00924627"/>
    <w:rsid w:val="009250A8"/>
    <w:rsid w:val="009255BA"/>
    <w:rsid w:val="00925BE6"/>
    <w:rsid w:val="0092658D"/>
    <w:rsid w:val="00926F61"/>
    <w:rsid w:val="00927BDE"/>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13C0"/>
    <w:rsid w:val="00983038"/>
    <w:rsid w:val="00983D46"/>
    <w:rsid w:val="00983DCA"/>
    <w:rsid w:val="00985EF7"/>
    <w:rsid w:val="00986396"/>
    <w:rsid w:val="00986CF9"/>
    <w:rsid w:val="00987416"/>
    <w:rsid w:val="0098755A"/>
    <w:rsid w:val="009907E2"/>
    <w:rsid w:val="00990894"/>
    <w:rsid w:val="00990C0E"/>
    <w:rsid w:val="00990D75"/>
    <w:rsid w:val="00991093"/>
    <w:rsid w:val="0099163B"/>
    <w:rsid w:val="00992343"/>
    <w:rsid w:val="00992958"/>
    <w:rsid w:val="00996303"/>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0D0"/>
    <w:rsid w:val="009B2CED"/>
    <w:rsid w:val="009B345D"/>
    <w:rsid w:val="009B5A4D"/>
    <w:rsid w:val="009B6169"/>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6564"/>
    <w:rsid w:val="009C70DB"/>
    <w:rsid w:val="009D0E75"/>
    <w:rsid w:val="009D132B"/>
    <w:rsid w:val="009D19BC"/>
    <w:rsid w:val="009D2348"/>
    <w:rsid w:val="009D2F0C"/>
    <w:rsid w:val="009D3578"/>
    <w:rsid w:val="009D3A5F"/>
    <w:rsid w:val="009D3EF3"/>
    <w:rsid w:val="009D5193"/>
    <w:rsid w:val="009D5C32"/>
    <w:rsid w:val="009D6472"/>
    <w:rsid w:val="009D79F4"/>
    <w:rsid w:val="009E031C"/>
    <w:rsid w:val="009E2B4C"/>
    <w:rsid w:val="009E308C"/>
    <w:rsid w:val="009E3CD1"/>
    <w:rsid w:val="009E4AB3"/>
    <w:rsid w:val="009E5AF5"/>
    <w:rsid w:val="009E5EB5"/>
    <w:rsid w:val="009E74F0"/>
    <w:rsid w:val="009F0768"/>
    <w:rsid w:val="009F5AD9"/>
    <w:rsid w:val="009F7867"/>
    <w:rsid w:val="009F7D66"/>
    <w:rsid w:val="00A00BD2"/>
    <w:rsid w:val="00A00E56"/>
    <w:rsid w:val="00A01C99"/>
    <w:rsid w:val="00A027F3"/>
    <w:rsid w:val="00A02FAD"/>
    <w:rsid w:val="00A03978"/>
    <w:rsid w:val="00A05DF3"/>
    <w:rsid w:val="00A05F1A"/>
    <w:rsid w:val="00A0670C"/>
    <w:rsid w:val="00A0689F"/>
    <w:rsid w:val="00A07E08"/>
    <w:rsid w:val="00A12798"/>
    <w:rsid w:val="00A153BE"/>
    <w:rsid w:val="00A15DEE"/>
    <w:rsid w:val="00A167B5"/>
    <w:rsid w:val="00A168A6"/>
    <w:rsid w:val="00A16DBE"/>
    <w:rsid w:val="00A17C4F"/>
    <w:rsid w:val="00A20653"/>
    <w:rsid w:val="00A20A39"/>
    <w:rsid w:val="00A21013"/>
    <w:rsid w:val="00A2190A"/>
    <w:rsid w:val="00A22681"/>
    <w:rsid w:val="00A238BD"/>
    <w:rsid w:val="00A23DA4"/>
    <w:rsid w:val="00A24372"/>
    <w:rsid w:val="00A243E4"/>
    <w:rsid w:val="00A2459D"/>
    <w:rsid w:val="00A24E23"/>
    <w:rsid w:val="00A25F05"/>
    <w:rsid w:val="00A27EB3"/>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5350"/>
    <w:rsid w:val="00A5765D"/>
    <w:rsid w:val="00A607CB"/>
    <w:rsid w:val="00A6351F"/>
    <w:rsid w:val="00A65A70"/>
    <w:rsid w:val="00A66F36"/>
    <w:rsid w:val="00A676D9"/>
    <w:rsid w:val="00A67EFC"/>
    <w:rsid w:val="00A7031E"/>
    <w:rsid w:val="00A71140"/>
    <w:rsid w:val="00A71DC7"/>
    <w:rsid w:val="00A72B7B"/>
    <w:rsid w:val="00A73790"/>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0FC2"/>
    <w:rsid w:val="00AD165F"/>
    <w:rsid w:val="00AD2794"/>
    <w:rsid w:val="00AD2B9F"/>
    <w:rsid w:val="00AD2DC5"/>
    <w:rsid w:val="00AD3455"/>
    <w:rsid w:val="00AD3CAD"/>
    <w:rsid w:val="00AD4960"/>
    <w:rsid w:val="00AD69FF"/>
    <w:rsid w:val="00AD702B"/>
    <w:rsid w:val="00AD72E6"/>
    <w:rsid w:val="00AD7C95"/>
    <w:rsid w:val="00AE0960"/>
    <w:rsid w:val="00AE3DE1"/>
    <w:rsid w:val="00AE44AC"/>
    <w:rsid w:val="00AE60C3"/>
    <w:rsid w:val="00AE63B3"/>
    <w:rsid w:val="00AE6E76"/>
    <w:rsid w:val="00AE6F68"/>
    <w:rsid w:val="00AE7527"/>
    <w:rsid w:val="00AF127E"/>
    <w:rsid w:val="00AF259C"/>
    <w:rsid w:val="00AF2D54"/>
    <w:rsid w:val="00AF3458"/>
    <w:rsid w:val="00AF3F7B"/>
    <w:rsid w:val="00AF4145"/>
    <w:rsid w:val="00AF42B4"/>
    <w:rsid w:val="00AF4B8A"/>
    <w:rsid w:val="00AF4C1B"/>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6F15"/>
    <w:rsid w:val="00B07CD6"/>
    <w:rsid w:val="00B07E09"/>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B94"/>
    <w:rsid w:val="00B2506B"/>
    <w:rsid w:val="00B2628E"/>
    <w:rsid w:val="00B26611"/>
    <w:rsid w:val="00B266B0"/>
    <w:rsid w:val="00B27921"/>
    <w:rsid w:val="00B3000E"/>
    <w:rsid w:val="00B326A8"/>
    <w:rsid w:val="00B329EB"/>
    <w:rsid w:val="00B32B4A"/>
    <w:rsid w:val="00B33508"/>
    <w:rsid w:val="00B3377E"/>
    <w:rsid w:val="00B35786"/>
    <w:rsid w:val="00B358E1"/>
    <w:rsid w:val="00B35DA4"/>
    <w:rsid w:val="00B37425"/>
    <w:rsid w:val="00B4069C"/>
    <w:rsid w:val="00B40A96"/>
    <w:rsid w:val="00B4184B"/>
    <w:rsid w:val="00B422A7"/>
    <w:rsid w:val="00B42A32"/>
    <w:rsid w:val="00B42D0B"/>
    <w:rsid w:val="00B42FA6"/>
    <w:rsid w:val="00B431AE"/>
    <w:rsid w:val="00B4399E"/>
    <w:rsid w:val="00B43A16"/>
    <w:rsid w:val="00B44666"/>
    <w:rsid w:val="00B45C10"/>
    <w:rsid w:val="00B45CE1"/>
    <w:rsid w:val="00B46A75"/>
    <w:rsid w:val="00B500CD"/>
    <w:rsid w:val="00B51BB0"/>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1BBD"/>
    <w:rsid w:val="00B71EA5"/>
    <w:rsid w:val="00B71F30"/>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3008"/>
    <w:rsid w:val="00B94025"/>
    <w:rsid w:val="00B9406D"/>
    <w:rsid w:val="00B94BA7"/>
    <w:rsid w:val="00B94BE9"/>
    <w:rsid w:val="00B94E0E"/>
    <w:rsid w:val="00B95269"/>
    <w:rsid w:val="00B97CA3"/>
    <w:rsid w:val="00BA2B80"/>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04A"/>
    <w:rsid w:val="00BD598A"/>
    <w:rsid w:val="00BD75B4"/>
    <w:rsid w:val="00BD7BFE"/>
    <w:rsid w:val="00BD7D14"/>
    <w:rsid w:val="00BE02B4"/>
    <w:rsid w:val="00BE0A4E"/>
    <w:rsid w:val="00BE1553"/>
    <w:rsid w:val="00BE19DC"/>
    <w:rsid w:val="00BE41EC"/>
    <w:rsid w:val="00BE4702"/>
    <w:rsid w:val="00BE4EC9"/>
    <w:rsid w:val="00BE56B1"/>
    <w:rsid w:val="00BE631E"/>
    <w:rsid w:val="00BE71F7"/>
    <w:rsid w:val="00BF0CCF"/>
    <w:rsid w:val="00BF0FC5"/>
    <w:rsid w:val="00BF10BC"/>
    <w:rsid w:val="00BF21AC"/>
    <w:rsid w:val="00BF2E53"/>
    <w:rsid w:val="00BF3133"/>
    <w:rsid w:val="00BF3669"/>
    <w:rsid w:val="00BF3C0D"/>
    <w:rsid w:val="00BF3FF0"/>
    <w:rsid w:val="00BF711C"/>
    <w:rsid w:val="00BF7C74"/>
    <w:rsid w:val="00C00ED8"/>
    <w:rsid w:val="00C03309"/>
    <w:rsid w:val="00C03452"/>
    <w:rsid w:val="00C067D5"/>
    <w:rsid w:val="00C072FE"/>
    <w:rsid w:val="00C12E39"/>
    <w:rsid w:val="00C13151"/>
    <w:rsid w:val="00C13DA5"/>
    <w:rsid w:val="00C14164"/>
    <w:rsid w:val="00C15D8E"/>
    <w:rsid w:val="00C17012"/>
    <w:rsid w:val="00C178FB"/>
    <w:rsid w:val="00C22B28"/>
    <w:rsid w:val="00C22B5A"/>
    <w:rsid w:val="00C230BF"/>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47EB8"/>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3A8"/>
    <w:rsid w:val="00C6648F"/>
    <w:rsid w:val="00C66540"/>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4D39"/>
    <w:rsid w:val="00C85277"/>
    <w:rsid w:val="00C85556"/>
    <w:rsid w:val="00C85D76"/>
    <w:rsid w:val="00C864D4"/>
    <w:rsid w:val="00C873AC"/>
    <w:rsid w:val="00C87B19"/>
    <w:rsid w:val="00C90828"/>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26"/>
    <w:rsid w:val="00CA64D5"/>
    <w:rsid w:val="00CB09DA"/>
    <w:rsid w:val="00CB0BD9"/>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6F0F"/>
    <w:rsid w:val="00CE7C7C"/>
    <w:rsid w:val="00CF002F"/>
    <w:rsid w:val="00CF0246"/>
    <w:rsid w:val="00CF0C02"/>
    <w:rsid w:val="00CF1899"/>
    <w:rsid w:val="00CF2483"/>
    <w:rsid w:val="00CF24E2"/>
    <w:rsid w:val="00CF321D"/>
    <w:rsid w:val="00CF393D"/>
    <w:rsid w:val="00CF4ABD"/>
    <w:rsid w:val="00CF4B18"/>
    <w:rsid w:val="00CF5A53"/>
    <w:rsid w:val="00CF5D28"/>
    <w:rsid w:val="00CF6942"/>
    <w:rsid w:val="00CF6F1E"/>
    <w:rsid w:val="00D001F9"/>
    <w:rsid w:val="00D0036E"/>
    <w:rsid w:val="00D00BB7"/>
    <w:rsid w:val="00D01EAD"/>
    <w:rsid w:val="00D02C62"/>
    <w:rsid w:val="00D035B9"/>
    <w:rsid w:val="00D05C04"/>
    <w:rsid w:val="00D060FF"/>
    <w:rsid w:val="00D064E8"/>
    <w:rsid w:val="00D06572"/>
    <w:rsid w:val="00D065CD"/>
    <w:rsid w:val="00D07D93"/>
    <w:rsid w:val="00D10A21"/>
    <w:rsid w:val="00D11FA6"/>
    <w:rsid w:val="00D12325"/>
    <w:rsid w:val="00D14487"/>
    <w:rsid w:val="00D14DBB"/>
    <w:rsid w:val="00D15E7E"/>
    <w:rsid w:val="00D162EF"/>
    <w:rsid w:val="00D17A1F"/>
    <w:rsid w:val="00D20016"/>
    <w:rsid w:val="00D207A7"/>
    <w:rsid w:val="00D20CD6"/>
    <w:rsid w:val="00D20E00"/>
    <w:rsid w:val="00D21005"/>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2656"/>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28AE"/>
    <w:rsid w:val="00D73077"/>
    <w:rsid w:val="00D736A2"/>
    <w:rsid w:val="00D73C57"/>
    <w:rsid w:val="00D742FF"/>
    <w:rsid w:val="00D758B3"/>
    <w:rsid w:val="00D76ADC"/>
    <w:rsid w:val="00D77413"/>
    <w:rsid w:val="00D7787C"/>
    <w:rsid w:val="00D80414"/>
    <w:rsid w:val="00D80449"/>
    <w:rsid w:val="00D81F10"/>
    <w:rsid w:val="00D8201E"/>
    <w:rsid w:val="00D822EC"/>
    <w:rsid w:val="00D82C91"/>
    <w:rsid w:val="00D8303C"/>
    <w:rsid w:val="00D836F7"/>
    <w:rsid w:val="00D84A57"/>
    <w:rsid w:val="00D84C3B"/>
    <w:rsid w:val="00D84DA7"/>
    <w:rsid w:val="00D864F8"/>
    <w:rsid w:val="00D874DF"/>
    <w:rsid w:val="00D87A12"/>
    <w:rsid w:val="00D87FEF"/>
    <w:rsid w:val="00D930E1"/>
    <w:rsid w:val="00D932AE"/>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641"/>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D726A"/>
    <w:rsid w:val="00DE0C66"/>
    <w:rsid w:val="00DE1904"/>
    <w:rsid w:val="00DE3DBB"/>
    <w:rsid w:val="00DE43A2"/>
    <w:rsid w:val="00DE4A74"/>
    <w:rsid w:val="00DE4B05"/>
    <w:rsid w:val="00DE541C"/>
    <w:rsid w:val="00DE5E79"/>
    <w:rsid w:val="00DE737B"/>
    <w:rsid w:val="00DF0587"/>
    <w:rsid w:val="00DF100B"/>
    <w:rsid w:val="00DF23CA"/>
    <w:rsid w:val="00DF2929"/>
    <w:rsid w:val="00DF3B76"/>
    <w:rsid w:val="00DF4359"/>
    <w:rsid w:val="00DF4C1A"/>
    <w:rsid w:val="00DF6E12"/>
    <w:rsid w:val="00DF7751"/>
    <w:rsid w:val="00E012B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0124"/>
    <w:rsid w:val="00E20155"/>
    <w:rsid w:val="00E239D1"/>
    <w:rsid w:val="00E26727"/>
    <w:rsid w:val="00E26970"/>
    <w:rsid w:val="00E27791"/>
    <w:rsid w:val="00E30F2D"/>
    <w:rsid w:val="00E319DB"/>
    <w:rsid w:val="00E31AFC"/>
    <w:rsid w:val="00E331BF"/>
    <w:rsid w:val="00E3409E"/>
    <w:rsid w:val="00E34D5D"/>
    <w:rsid w:val="00E34F76"/>
    <w:rsid w:val="00E37BE5"/>
    <w:rsid w:val="00E41A27"/>
    <w:rsid w:val="00E41E2F"/>
    <w:rsid w:val="00E42910"/>
    <w:rsid w:val="00E430C7"/>
    <w:rsid w:val="00E457DC"/>
    <w:rsid w:val="00E4608B"/>
    <w:rsid w:val="00E464EC"/>
    <w:rsid w:val="00E46FF0"/>
    <w:rsid w:val="00E501D3"/>
    <w:rsid w:val="00E53A01"/>
    <w:rsid w:val="00E553CE"/>
    <w:rsid w:val="00E564C4"/>
    <w:rsid w:val="00E567C9"/>
    <w:rsid w:val="00E604C4"/>
    <w:rsid w:val="00E60809"/>
    <w:rsid w:val="00E611AE"/>
    <w:rsid w:val="00E61300"/>
    <w:rsid w:val="00E614F2"/>
    <w:rsid w:val="00E635B9"/>
    <w:rsid w:val="00E65D15"/>
    <w:rsid w:val="00E66C49"/>
    <w:rsid w:val="00E67EE5"/>
    <w:rsid w:val="00E7013A"/>
    <w:rsid w:val="00E71099"/>
    <w:rsid w:val="00E72AB0"/>
    <w:rsid w:val="00E74035"/>
    <w:rsid w:val="00E74104"/>
    <w:rsid w:val="00E7473C"/>
    <w:rsid w:val="00E74F5D"/>
    <w:rsid w:val="00E750D8"/>
    <w:rsid w:val="00E757A8"/>
    <w:rsid w:val="00E75C06"/>
    <w:rsid w:val="00E76034"/>
    <w:rsid w:val="00E80440"/>
    <w:rsid w:val="00E80515"/>
    <w:rsid w:val="00E817E0"/>
    <w:rsid w:val="00E819FB"/>
    <w:rsid w:val="00E827D2"/>
    <w:rsid w:val="00E82AE8"/>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3DCA"/>
    <w:rsid w:val="00EA4EC9"/>
    <w:rsid w:val="00EA54D5"/>
    <w:rsid w:val="00EA5E0F"/>
    <w:rsid w:val="00EA6103"/>
    <w:rsid w:val="00EA64B3"/>
    <w:rsid w:val="00EA6FE4"/>
    <w:rsid w:val="00EA7555"/>
    <w:rsid w:val="00EA7723"/>
    <w:rsid w:val="00EA7F4C"/>
    <w:rsid w:val="00EB1D47"/>
    <w:rsid w:val="00EB2146"/>
    <w:rsid w:val="00EB2317"/>
    <w:rsid w:val="00EB279B"/>
    <w:rsid w:val="00EB2ABB"/>
    <w:rsid w:val="00EB55CA"/>
    <w:rsid w:val="00EB584C"/>
    <w:rsid w:val="00EB5D88"/>
    <w:rsid w:val="00EB713E"/>
    <w:rsid w:val="00EB7307"/>
    <w:rsid w:val="00EC14B0"/>
    <w:rsid w:val="00EC1F80"/>
    <w:rsid w:val="00EC204E"/>
    <w:rsid w:val="00EC249E"/>
    <w:rsid w:val="00EC2966"/>
    <w:rsid w:val="00EC2CFF"/>
    <w:rsid w:val="00EC3C9D"/>
    <w:rsid w:val="00EC4DEE"/>
    <w:rsid w:val="00EC5F2F"/>
    <w:rsid w:val="00EC651E"/>
    <w:rsid w:val="00EC692E"/>
    <w:rsid w:val="00EC745E"/>
    <w:rsid w:val="00EC7EAF"/>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3663"/>
    <w:rsid w:val="00EE41C4"/>
    <w:rsid w:val="00EE4A40"/>
    <w:rsid w:val="00EE619C"/>
    <w:rsid w:val="00EE76A9"/>
    <w:rsid w:val="00EE799E"/>
    <w:rsid w:val="00EE7B5A"/>
    <w:rsid w:val="00EE7C7E"/>
    <w:rsid w:val="00EE7CA8"/>
    <w:rsid w:val="00EE7FA7"/>
    <w:rsid w:val="00EF1093"/>
    <w:rsid w:val="00EF1707"/>
    <w:rsid w:val="00EF1FCB"/>
    <w:rsid w:val="00EF21C3"/>
    <w:rsid w:val="00EF2E6B"/>
    <w:rsid w:val="00EF44F4"/>
    <w:rsid w:val="00F0030E"/>
    <w:rsid w:val="00F00CD1"/>
    <w:rsid w:val="00F01E6B"/>
    <w:rsid w:val="00F0241C"/>
    <w:rsid w:val="00F05759"/>
    <w:rsid w:val="00F06D60"/>
    <w:rsid w:val="00F072C0"/>
    <w:rsid w:val="00F10CB9"/>
    <w:rsid w:val="00F110D5"/>
    <w:rsid w:val="00F11C84"/>
    <w:rsid w:val="00F12351"/>
    <w:rsid w:val="00F1420E"/>
    <w:rsid w:val="00F143A1"/>
    <w:rsid w:val="00F149D1"/>
    <w:rsid w:val="00F16739"/>
    <w:rsid w:val="00F16DE2"/>
    <w:rsid w:val="00F17C5F"/>
    <w:rsid w:val="00F2052B"/>
    <w:rsid w:val="00F210C7"/>
    <w:rsid w:val="00F213FF"/>
    <w:rsid w:val="00F21D14"/>
    <w:rsid w:val="00F2260F"/>
    <w:rsid w:val="00F242AD"/>
    <w:rsid w:val="00F247F2"/>
    <w:rsid w:val="00F252A8"/>
    <w:rsid w:val="00F25C8F"/>
    <w:rsid w:val="00F2608D"/>
    <w:rsid w:val="00F265F7"/>
    <w:rsid w:val="00F27FA6"/>
    <w:rsid w:val="00F33DC8"/>
    <w:rsid w:val="00F34444"/>
    <w:rsid w:val="00F360A6"/>
    <w:rsid w:val="00F37F25"/>
    <w:rsid w:val="00F4065A"/>
    <w:rsid w:val="00F40F19"/>
    <w:rsid w:val="00F4275C"/>
    <w:rsid w:val="00F45693"/>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A00"/>
    <w:rsid w:val="00F713A3"/>
    <w:rsid w:val="00F71A8F"/>
    <w:rsid w:val="00F74603"/>
    <w:rsid w:val="00F75240"/>
    <w:rsid w:val="00F75330"/>
    <w:rsid w:val="00F76BD9"/>
    <w:rsid w:val="00F80318"/>
    <w:rsid w:val="00F80703"/>
    <w:rsid w:val="00F80948"/>
    <w:rsid w:val="00F80A7F"/>
    <w:rsid w:val="00F81387"/>
    <w:rsid w:val="00F81835"/>
    <w:rsid w:val="00F81E3D"/>
    <w:rsid w:val="00F822E3"/>
    <w:rsid w:val="00F825B5"/>
    <w:rsid w:val="00F82866"/>
    <w:rsid w:val="00F8290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B78F8"/>
    <w:rsid w:val="00FC0065"/>
    <w:rsid w:val="00FC15E7"/>
    <w:rsid w:val="00FC2E4D"/>
    <w:rsid w:val="00FC3AEE"/>
    <w:rsid w:val="00FC6238"/>
    <w:rsid w:val="00FC78AD"/>
    <w:rsid w:val="00FD0D70"/>
    <w:rsid w:val="00FD1D37"/>
    <w:rsid w:val="00FD254A"/>
    <w:rsid w:val="00FD33FC"/>
    <w:rsid w:val="00FD3730"/>
    <w:rsid w:val="00FD3ADE"/>
    <w:rsid w:val="00FD3B08"/>
    <w:rsid w:val="00FD4806"/>
    <w:rsid w:val="00FD4BA4"/>
    <w:rsid w:val="00FD4EFF"/>
    <w:rsid w:val="00FD534E"/>
    <w:rsid w:val="00FD56C7"/>
    <w:rsid w:val="00FD5CBB"/>
    <w:rsid w:val="00FD6B74"/>
    <w:rsid w:val="00FD70AE"/>
    <w:rsid w:val="00FD7356"/>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42A0"/>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locked/>
    <w:rsid w:val="0003163F"/>
    <w:rPr>
      <w:rFonts w:ascii="Arial" w:hAnsi="Arial"/>
      <w:b/>
      <w:sz w:val="18"/>
      <w:lang w:val="en-GB"/>
    </w:rPr>
  </w:style>
  <w:style w:type="character" w:styleId="UnresolvedMention">
    <w:name w:val="Unresolved Mention"/>
    <w:basedOn w:val="DefaultParagraphFont"/>
    <w:uiPriority w:val="99"/>
    <w:semiHidden/>
    <w:unhideWhenUsed/>
    <w:rsid w:val="00714B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55133599">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625836">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69006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6373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401352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318220">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5AIRPNAIUNRU-1830940522-3211</_dlc_DocId>
    <_dlc_DocIdUrl xmlns="71c5aaf6-e6ce-465b-b873-5148d2a4c105">
      <Url>https://nokia.sharepoint.com/sites/c5g/5gradio/_layouts/15/DocIdRedir.aspx?ID=5AIRPNAIUNRU-1830940522-3211</Url>
      <Description>5AIRPNAIUNRU-1830940522-3211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3AE1B-2656-4052-BC86-8AD1B236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776F678-80DF-47E9-9E97-C067B7BF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Ye, Sigen (Nokia - US/Murray Hill)</cp:lastModifiedBy>
  <cp:revision>4</cp:revision>
  <cp:lastPrinted>2016-06-20T11:35:00Z</cp:lastPrinted>
  <dcterms:created xsi:type="dcterms:W3CDTF">2018-05-11T10:01:00Z</dcterms:created>
  <dcterms:modified xsi:type="dcterms:W3CDTF">2018-05-12T02:23:00Z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83c4f04f-a007-467d-803d-9111c7b908cc</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